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67" w:rsidRPr="001129FC" w:rsidRDefault="005C3B67" w:rsidP="001129FC">
      <w:pPr>
        <w:spacing w:after="240"/>
        <w:jc w:val="center"/>
        <w:rPr>
          <w:b/>
          <w:sz w:val="28"/>
        </w:rPr>
      </w:pPr>
      <w:r w:rsidRPr="001129FC">
        <w:rPr>
          <w:b/>
          <w:sz w:val="28"/>
        </w:rPr>
        <w:t xml:space="preserve">Требования к </w:t>
      </w:r>
      <w:r w:rsidR="0097791B" w:rsidRPr="001129FC">
        <w:rPr>
          <w:b/>
          <w:sz w:val="28"/>
        </w:rPr>
        <w:t xml:space="preserve">оформлению </w:t>
      </w:r>
      <w:r w:rsidR="00AD6F58">
        <w:rPr>
          <w:b/>
          <w:sz w:val="28"/>
        </w:rPr>
        <w:t>тезисов/</w:t>
      </w:r>
      <w:r w:rsidR="0097791B" w:rsidRPr="001129FC">
        <w:rPr>
          <w:b/>
          <w:sz w:val="28"/>
        </w:rPr>
        <w:t>текстов статей</w:t>
      </w:r>
    </w:p>
    <w:p w:rsidR="005C3B67" w:rsidRDefault="005C3B67" w:rsidP="005C3B67">
      <w:pPr>
        <w:pStyle w:val="-11"/>
        <w:numPr>
          <w:ilvl w:val="0"/>
          <w:numId w:val="6"/>
        </w:numPr>
        <w:jc w:val="both"/>
      </w:pPr>
      <w:r w:rsidRPr="009E2ADF">
        <w:t>Фамилия</w:t>
      </w:r>
      <w:r w:rsidR="00AF0491">
        <w:t xml:space="preserve">, имя, отчество </w:t>
      </w:r>
      <w:r w:rsidRPr="009E2ADF">
        <w:t>автора</w:t>
      </w:r>
      <w:r w:rsidR="00AF0491">
        <w:t xml:space="preserve"> полностью</w:t>
      </w:r>
      <w:r w:rsidRPr="009E2ADF">
        <w:t>. Название организации, в которой выполнялась работа, факультет, курс, фамилия и инициалы</w:t>
      </w:r>
      <w:r w:rsidR="00AF0491">
        <w:t>, научное звание</w:t>
      </w:r>
      <w:r w:rsidRPr="009E2ADF">
        <w:t xml:space="preserve"> научного руководителя</w:t>
      </w:r>
      <w:r w:rsidR="006C3F25">
        <w:t>/</w:t>
      </w:r>
      <w:r w:rsidR="00AF0491">
        <w:t xml:space="preserve"> </w:t>
      </w:r>
      <w:r w:rsidR="006C3F25">
        <w:t>консультанта</w:t>
      </w:r>
      <w:r w:rsidR="00126A4C">
        <w:t>.</w:t>
      </w:r>
    </w:p>
    <w:p w:rsidR="00367B4F" w:rsidRDefault="00367B4F" w:rsidP="005C3B67">
      <w:pPr>
        <w:pStyle w:val="-11"/>
        <w:numPr>
          <w:ilvl w:val="0"/>
          <w:numId w:val="6"/>
        </w:numPr>
        <w:jc w:val="both"/>
      </w:pPr>
      <w:r>
        <w:t>Отчет из системы «Антиплагиат»: в статье должно быть не менее 80% авторского текста.</w:t>
      </w:r>
    </w:p>
    <w:p w:rsidR="00367B4F" w:rsidRPr="009E2ADF" w:rsidRDefault="00367B4F" w:rsidP="005C3B67">
      <w:pPr>
        <w:pStyle w:val="-11"/>
        <w:numPr>
          <w:ilvl w:val="0"/>
          <w:numId w:val="6"/>
        </w:numPr>
        <w:jc w:val="both"/>
      </w:pPr>
      <w:r>
        <w:t>Объем статьи: не более 10 000 знаков (с пробелами).</w:t>
      </w:r>
      <w:r w:rsidR="00D47210">
        <w:t xml:space="preserve"> Меньшее количество знаков приветствуется.</w:t>
      </w:r>
    </w:p>
    <w:p w:rsidR="005C3B67" w:rsidRPr="009E2ADF" w:rsidRDefault="005C3B67" w:rsidP="005C3B67">
      <w:pPr>
        <w:pStyle w:val="-11"/>
        <w:numPr>
          <w:ilvl w:val="0"/>
          <w:numId w:val="6"/>
        </w:numPr>
        <w:jc w:val="both"/>
      </w:pPr>
      <w:r w:rsidRPr="009E2ADF">
        <w:t>Аннотация</w:t>
      </w:r>
      <w:r w:rsidR="00AF0491">
        <w:t xml:space="preserve"> </w:t>
      </w:r>
      <w:r w:rsidR="00211853">
        <w:t>на русском и английском языках (4</w:t>
      </w:r>
      <w:r w:rsidR="00372800" w:rsidRPr="00372800">
        <w:t>–</w:t>
      </w:r>
      <w:r w:rsidR="00211853">
        <w:t>6 строк)</w:t>
      </w:r>
      <w:r w:rsidR="00126A4C">
        <w:t>.</w:t>
      </w:r>
    </w:p>
    <w:p w:rsidR="005C3B67" w:rsidRDefault="005C3B67" w:rsidP="005C3B67">
      <w:pPr>
        <w:pStyle w:val="-11"/>
        <w:numPr>
          <w:ilvl w:val="0"/>
          <w:numId w:val="6"/>
        </w:numPr>
        <w:jc w:val="both"/>
      </w:pPr>
      <w:r w:rsidRPr="009E2ADF">
        <w:t>Ключевые слова (3</w:t>
      </w:r>
      <w:r w:rsidR="00372800" w:rsidRPr="00372800">
        <w:t>–</w:t>
      </w:r>
      <w:r w:rsidRPr="009E2ADF">
        <w:t>5) на русском и английском языках.</w:t>
      </w:r>
    </w:p>
    <w:p w:rsidR="00AF0491" w:rsidRPr="009E2ADF" w:rsidRDefault="00AF0491" w:rsidP="005C3B67">
      <w:pPr>
        <w:pStyle w:val="-11"/>
        <w:numPr>
          <w:ilvl w:val="0"/>
          <w:numId w:val="6"/>
        </w:numPr>
        <w:jc w:val="both"/>
      </w:pPr>
      <w:r w:rsidRPr="00AF0491">
        <w:rPr>
          <w:b/>
        </w:rPr>
        <w:t>Нельзя</w:t>
      </w:r>
      <w:r>
        <w:t xml:space="preserve"> использовать автоматический перенос.</w:t>
      </w:r>
    </w:p>
    <w:p w:rsidR="00AF0491" w:rsidRPr="00AF0491" w:rsidRDefault="00372800" w:rsidP="00AF0491">
      <w:pPr>
        <w:pStyle w:val="-11"/>
        <w:numPr>
          <w:ilvl w:val="0"/>
          <w:numId w:val="6"/>
        </w:numPr>
        <w:jc w:val="both"/>
      </w:pPr>
      <w:r>
        <w:t>В статье</w:t>
      </w:r>
      <w:r w:rsidR="005C3B67" w:rsidRPr="009E2ADF">
        <w:t xml:space="preserve"> рекомендуется использовать не более 10 литературных источников</w:t>
      </w:r>
      <w:r w:rsidR="00AF0491">
        <w:t xml:space="preserve">, на все из </w:t>
      </w:r>
      <w:r w:rsidR="00AF0491" w:rsidRPr="00AF0491">
        <w:t>них должны быть ссылки в тексте статьи</w:t>
      </w:r>
      <w:r w:rsidR="005C3B67" w:rsidRPr="00AF0491">
        <w:t>.</w:t>
      </w:r>
      <w:r w:rsidR="001129FC" w:rsidRPr="001129FC">
        <w:t xml:space="preserve"> </w:t>
      </w:r>
      <w:r w:rsidR="001129FC" w:rsidRPr="00AF0491">
        <w:t xml:space="preserve">Источники приводятся в конце статьи под названием </w:t>
      </w:r>
      <w:r w:rsidR="001129FC" w:rsidRPr="00AF0491">
        <w:rPr>
          <w:b/>
        </w:rPr>
        <w:t>Список источников</w:t>
      </w:r>
      <w:r w:rsidR="001129FC" w:rsidRPr="00AF0491">
        <w:t>.</w:t>
      </w:r>
    </w:p>
    <w:p w:rsidR="00AF0491" w:rsidRPr="00AF0491" w:rsidRDefault="00AF0491" w:rsidP="00AF0491">
      <w:pPr>
        <w:pStyle w:val="-11"/>
        <w:numPr>
          <w:ilvl w:val="0"/>
          <w:numId w:val="6"/>
        </w:numPr>
        <w:jc w:val="both"/>
      </w:pPr>
      <w:r w:rsidRPr="00AF0491">
        <w:t>Нумерованный список: ручной</w:t>
      </w:r>
      <w:r>
        <w:t xml:space="preserve"> (автоматическая нумерация «слетает» при переносе текста в программу верстки)</w:t>
      </w:r>
      <w:r w:rsidRPr="00AF0491">
        <w:t>.</w:t>
      </w:r>
    </w:p>
    <w:p w:rsidR="00AF0491" w:rsidRDefault="00AF0491" w:rsidP="00AF0491">
      <w:pPr>
        <w:pStyle w:val="-11"/>
        <w:numPr>
          <w:ilvl w:val="0"/>
          <w:numId w:val="6"/>
        </w:numPr>
        <w:jc w:val="both"/>
      </w:pPr>
      <w:r w:rsidRPr="00AF0491">
        <w:t>Маркированный список: автоматический</w:t>
      </w:r>
      <w:r>
        <w:t>; маркеры должны быть одинаковыми по всей статье</w:t>
      </w:r>
      <w:r w:rsidRPr="00AF0491">
        <w:t>.</w:t>
      </w:r>
    </w:p>
    <w:p w:rsidR="00AF0491" w:rsidRPr="001129FC" w:rsidRDefault="002006CC" w:rsidP="001129FC">
      <w:pPr>
        <w:numPr>
          <w:ilvl w:val="0"/>
          <w:numId w:val="6"/>
        </w:numPr>
        <w:jc w:val="both"/>
        <w:rPr>
          <w:bCs/>
        </w:rPr>
      </w:pPr>
      <w:r>
        <w:rPr>
          <w:lang w:eastAsia="en-US"/>
        </w:rPr>
        <w:t xml:space="preserve">Тире в предложениях (как знак препинания между членами предложения) набирается длинным </w:t>
      </w:r>
      <w:r w:rsidRPr="002006CC">
        <w:rPr>
          <w:lang w:eastAsia="en-US"/>
        </w:rPr>
        <w:t>тире</w:t>
      </w:r>
      <w:r>
        <w:rPr>
          <w:lang w:eastAsia="en-US"/>
        </w:rPr>
        <w:t xml:space="preserve"> (—): </w:t>
      </w:r>
      <w:r w:rsidRPr="002006CC">
        <w:rPr>
          <w:b/>
          <w:lang w:val="en-US" w:eastAsia="en-US"/>
        </w:rPr>
        <w:t>C</w:t>
      </w:r>
      <w:r w:rsidRPr="002006CC">
        <w:rPr>
          <w:b/>
          <w:lang w:val="en-US"/>
        </w:rPr>
        <w:t>trl</w:t>
      </w:r>
      <w:r w:rsidRPr="002006CC">
        <w:rPr>
          <w:b/>
        </w:rPr>
        <w:t xml:space="preserve"> + </w:t>
      </w:r>
      <w:r w:rsidRPr="002006CC">
        <w:rPr>
          <w:b/>
          <w:lang w:val="en-US"/>
        </w:rPr>
        <w:t>Alt</w:t>
      </w:r>
      <w:r w:rsidRPr="002006CC">
        <w:rPr>
          <w:b/>
        </w:rPr>
        <w:t xml:space="preserve"> + </w:t>
      </w:r>
      <w:r w:rsidRPr="002006CC">
        <w:rPr>
          <w:b/>
          <w:lang w:val="en-US"/>
        </w:rPr>
        <w:t>Num</w:t>
      </w:r>
      <w:r w:rsidRPr="002006CC">
        <w:rPr>
          <w:b/>
        </w:rPr>
        <w:t xml:space="preserve"> </w:t>
      </w:r>
      <w:r w:rsidRPr="002006CC">
        <w:rPr>
          <w:b/>
          <w:lang w:val="en-US"/>
        </w:rPr>
        <w:t>Lock</w:t>
      </w:r>
      <w:r w:rsidRPr="002006CC">
        <w:rPr>
          <w:b/>
        </w:rPr>
        <w:t xml:space="preserve"> + - (правая клавиатура)</w:t>
      </w:r>
      <w:r>
        <w:t>. В числовых</w:t>
      </w:r>
      <w:r w:rsidR="00AA6727">
        <w:br/>
      </w:r>
      <w:r>
        <w:t xml:space="preserve">(1–3; 1993–1999 и др.) и пространственных (Москва–Санкт-Петербург) </w:t>
      </w:r>
      <w:r w:rsidR="001129FC">
        <w:t xml:space="preserve">интервалах </w:t>
      </w:r>
      <w:r>
        <w:t xml:space="preserve">ставится среднее тире </w:t>
      </w:r>
      <w:r w:rsidR="001129FC">
        <w:t>без пробелов</w:t>
      </w:r>
      <w:r>
        <w:t>.</w:t>
      </w:r>
      <w:r w:rsidR="001129FC">
        <w:t xml:space="preserve"> В словах (как орфографический знак) ставится дефис без пробелов: все-таки, фото- и видеосъемка, научно-педагогический и т.д.</w:t>
      </w:r>
    </w:p>
    <w:p w:rsidR="003469B5" w:rsidRPr="003469B5" w:rsidRDefault="003469B5" w:rsidP="003469B5">
      <w:pPr>
        <w:rPr>
          <w:vanish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7665"/>
      </w:tblGrid>
      <w:tr w:rsidR="00AF0491" w:rsidRPr="009E2ADF" w:rsidTr="00547ECF">
        <w:trPr>
          <w:jc w:val="center"/>
        </w:trPr>
        <w:tc>
          <w:tcPr>
            <w:tcW w:w="1042" w:type="pct"/>
          </w:tcPr>
          <w:p w:rsidR="00AF0491" w:rsidRPr="009E2ADF" w:rsidRDefault="00AF0491" w:rsidP="005A4537">
            <w:pPr>
              <w:suppressAutoHyphens/>
              <w:jc w:val="both"/>
              <w:rPr>
                <w:b/>
              </w:rPr>
            </w:pPr>
            <w:r w:rsidRPr="009E2ADF">
              <w:rPr>
                <w:b/>
              </w:rPr>
              <w:t>Поля</w:t>
            </w:r>
          </w:p>
        </w:tc>
        <w:tc>
          <w:tcPr>
            <w:tcW w:w="3958" w:type="pct"/>
          </w:tcPr>
          <w:p w:rsidR="00AF0491" w:rsidRPr="009E2ADF" w:rsidRDefault="00AA6727" w:rsidP="00AA6727">
            <w:pPr>
              <w:suppressAutoHyphens/>
              <w:jc w:val="both"/>
            </w:pPr>
            <w:r>
              <w:t>В</w:t>
            </w:r>
            <w:r w:rsidR="00AF0491">
              <w:t xml:space="preserve">се по </w:t>
            </w:r>
            <w:r w:rsidR="00AF0491" w:rsidRPr="009E2ADF">
              <w:rPr>
                <w:b/>
              </w:rPr>
              <w:t>20 мм</w:t>
            </w:r>
          </w:p>
        </w:tc>
      </w:tr>
      <w:tr w:rsidR="0062731A" w:rsidRPr="009E2ADF" w:rsidTr="00547ECF">
        <w:trPr>
          <w:jc w:val="center"/>
        </w:trPr>
        <w:tc>
          <w:tcPr>
            <w:tcW w:w="1042" w:type="pct"/>
          </w:tcPr>
          <w:p w:rsidR="0062731A" w:rsidRPr="009E2ADF" w:rsidRDefault="0062731A" w:rsidP="005A4537">
            <w:pPr>
              <w:suppressAutoHyphens/>
              <w:jc w:val="both"/>
              <w:rPr>
                <w:b/>
              </w:rPr>
            </w:pPr>
            <w:r w:rsidRPr="009E2ADF">
              <w:rPr>
                <w:b/>
              </w:rPr>
              <w:t>Интервал</w:t>
            </w:r>
          </w:p>
        </w:tc>
        <w:tc>
          <w:tcPr>
            <w:tcW w:w="3958" w:type="pct"/>
          </w:tcPr>
          <w:p w:rsidR="001129FC" w:rsidRPr="009E2ADF" w:rsidRDefault="00AA6727" w:rsidP="001129FC">
            <w:pPr>
              <w:numPr>
                <w:ilvl w:val="0"/>
                <w:numId w:val="13"/>
              </w:numPr>
              <w:suppressAutoHyphens/>
              <w:ind w:left="250" w:hanging="250"/>
              <w:jc w:val="both"/>
            </w:pPr>
            <w:r>
              <w:t>О</w:t>
            </w:r>
            <w:r w:rsidR="0062731A" w:rsidRPr="009E2ADF">
              <w:t>сновной текст</w:t>
            </w:r>
            <w:r w:rsidR="00372800">
              <w:t xml:space="preserve"> — </w:t>
            </w:r>
            <w:r w:rsidR="0062731A" w:rsidRPr="001129FC">
              <w:rPr>
                <w:b/>
              </w:rPr>
              <w:t>1,5</w:t>
            </w:r>
          </w:p>
          <w:p w:rsidR="0062731A" w:rsidRPr="009E2ADF" w:rsidRDefault="00AA6727" w:rsidP="001129FC">
            <w:pPr>
              <w:numPr>
                <w:ilvl w:val="0"/>
                <w:numId w:val="13"/>
              </w:numPr>
              <w:suppressAutoHyphens/>
              <w:ind w:left="250" w:hanging="250"/>
              <w:jc w:val="both"/>
            </w:pPr>
            <w:r>
              <w:t>С</w:t>
            </w:r>
            <w:r w:rsidR="0062731A" w:rsidRPr="009E2ADF">
              <w:t xml:space="preserve">писок </w:t>
            </w:r>
            <w:r>
              <w:t>источников</w:t>
            </w:r>
            <w:r w:rsidR="00372800">
              <w:t xml:space="preserve"> — </w:t>
            </w:r>
            <w:r w:rsidR="0062731A" w:rsidRPr="009E2ADF">
              <w:rPr>
                <w:b/>
              </w:rPr>
              <w:t>1,5</w:t>
            </w:r>
          </w:p>
          <w:p w:rsidR="0062731A" w:rsidRPr="009E2ADF" w:rsidRDefault="00AA6727" w:rsidP="001129FC">
            <w:pPr>
              <w:numPr>
                <w:ilvl w:val="0"/>
                <w:numId w:val="13"/>
              </w:numPr>
              <w:suppressAutoHyphens/>
              <w:ind w:left="250" w:hanging="250"/>
              <w:jc w:val="both"/>
            </w:pPr>
            <w:r>
              <w:t>С</w:t>
            </w:r>
            <w:r w:rsidR="0062731A" w:rsidRPr="009E2ADF">
              <w:t xml:space="preserve">одержание табличных форм и рисунков </w:t>
            </w:r>
            <w:r w:rsidR="00372800" w:rsidRPr="00372800">
              <w:t>—</w:t>
            </w:r>
            <w:r w:rsidR="0062731A" w:rsidRPr="009E2ADF">
              <w:t xml:space="preserve"> </w:t>
            </w:r>
            <w:r w:rsidR="0062731A" w:rsidRPr="009E2ADF">
              <w:rPr>
                <w:b/>
              </w:rPr>
              <w:t>1</w:t>
            </w:r>
          </w:p>
          <w:p w:rsidR="0062731A" w:rsidRPr="009E2ADF" w:rsidRDefault="00AA6727" w:rsidP="001129FC">
            <w:pPr>
              <w:numPr>
                <w:ilvl w:val="0"/>
                <w:numId w:val="13"/>
              </w:numPr>
              <w:suppressAutoHyphens/>
              <w:ind w:left="250" w:hanging="250"/>
              <w:jc w:val="both"/>
            </w:pPr>
            <w:r>
              <w:t>П</w:t>
            </w:r>
            <w:r w:rsidR="0062731A" w:rsidRPr="009E2ADF">
              <w:t>римечания (постраничные сноски)</w:t>
            </w:r>
            <w:r w:rsidR="00372800">
              <w:t xml:space="preserve"> — </w:t>
            </w:r>
            <w:r w:rsidR="0062731A" w:rsidRPr="009E2ADF">
              <w:rPr>
                <w:b/>
              </w:rPr>
              <w:t>1</w:t>
            </w:r>
          </w:p>
        </w:tc>
      </w:tr>
      <w:tr w:rsidR="0062731A" w:rsidRPr="009E2ADF" w:rsidTr="00547ECF">
        <w:trPr>
          <w:jc w:val="center"/>
        </w:trPr>
        <w:tc>
          <w:tcPr>
            <w:tcW w:w="1042" w:type="pct"/>
          </w:tcPr>
          <w:p w:rsidR="0062731A" w:rsidRPr="009E2ADF" w:rsidRDefault="0062731A" w:rsidP="005A4537">
            <w:pPr>
              <w:suppressAutoHyphens/>
              <w:jc w:val="both"/>
            </w:pPr>
            <w:r w:rsidRPr="009E2ADF">
              <w:rPr>
                <w:b/>
              </w:rPr>
              <w:t>Гарнитура</w:t>
            </w:r>
          </w:p>
        </w:tc>
        <w:tc>
          <w:tcPr>
            <w:tcW w:w="3958" w:type="pct"/>
          </w:tcPr>
          <w:p w:rsidR="0062731A" w:rsidRPr="009E2ADF" w:rsidRDefault="0062731A" w:rsidP="005A4537">
            <w:pPr>
              <w:suppressAutoHyphens/>
              <w:jc w:val="both"/>
              <w:rPr>
                <w:b/>
              </w:rPr>
            </w:pPr>
            <w:r w:rsidRPr="009E2ADF">
              <w:rPr>
                <w:b/>
                <w:lang w:val="en-US"/>
              </w:rPr>
              <w:t>Times New Roman</w:t>
            </w:r>
          </w:p>
          <w:p w:rsidR="0062731A" w:rsidRPr="009E2ADF" w:rsidRDefault="0062731A" w:rsidP="005A4537">
            <w:pPr>
              <w:suppressAutoHyphens/>
              <w:jc w:val="both"/>
              <w:rPr>
                <w:b/>
              </w:rPr>
            </w:pPr>
            <w:r w:rsidRPr="009E2ADF">
              <w:rPr>
                <w:color w:val="000000"/>
              </w:rPr>
              <w:t>Не допускается применение шрифтов разной гарнитуры</w:t>
            </w:r>
          </w:p>
        </w:tc>
      </w:tr>
      <w:tr w:rsidR="0062731A" w:rsidRPr="009E2ADF" w:rsidTr="00547ECF">
        <w:trPr>
          <w:jc w:val="center"/>
        </w:trPr>
        <w:tc>
          <w:tcPr>
            <w:tcW w:w="1042" w:type="pct"/>
          </w:tcPr>
          <w:p w:rsidR="0062731A" w:rsidRPr="009E2ADF" w:rsidRDefault="0062731A" w:rsidP="005A4537">
            <w:pPr>
              <w:suppressAutoHyphens/>
              <w:jc w:val="both"/>
            </w:pPr>
            <w:r w:rsidRPr="009E2ADF">
              <w:rPr>
                <w:b/>
              </w:rPr>
              <w:t>Размер кегля</w:t>
            </w:r>
          </w:p>
        </w:tc>
        <w:tc>
          <w:tcPr>
            <w:tcW w:w="3958" w:type="pct"/>
          </w:tcPr>
          <w:p w:rsidR="0062731A" w:rsidRPr="009E2ADF" w:rsidRDefault="00AA6727" w:rsidP="001129FC">
            <w:pPr>
              <w:numPr>
                <w:ilvl w:val="0"/>
                <w:numId w:val="14"/>
              </w:numPr>
              <w:suppressAutoHyphens/>
              <w:ind w:left="250" w:hanging="250"/>
              <w:jc w:val="both"/>
            </w:pPr>
            <w:r>
              <w:t>О</w:t>
            </w:r>
            <w:r w:rsidR="0062731A" w:rsidRPr="009E2ADF">
              <w:t>сновной текст</w:t>
            </w:r>
            <w:r w:rsidR="00372800">
              <w:t xml:space="preserve"> — </w:t>
            </w:r>
            <w:r w:rsidR="0062731A" w:rsidRPr="009E2ADF">
              <w:rPr>
                <w:b/>
              </w:rPr>
              <w:t>14 пт</w:t>
            </w:r>
          </w:p>
          <w:p w:rsidR="00C21C53" w:rsidRPr="009E2ADF" w:rsidRDefault="00AA6727" w:rsidP="001129FC">
            <w:pPr>
              <w:numPr>
                <w:ilvl w:val="0"/>
                <w:numId w:val="14"/>
              </w:numPr>
              <w:suppressAutoHyphens/>
              <w:ind w:left="250" w:hanging="25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="001129FC">
              <w:rPr>
                <w:color w:val="000000"/>
              </w:rPr>
              <w:t>писок источников</w:t>
            </w:r>
            <w:r w:rsidR="00372800">
              <w:rPr>
                <w:color w:val="000000"/>
              </w:rPr>
              <w:t xml:space="preserve"> — </w:t>
            </w:r>
            <w:r>
              <w:rPr>
                <w:b/>
                <w:color w:val="000000"/>
              </w:rPr>
              <w:t>12 пт</w:t>
            </w:r>
          </w:p>
          <w:p w:rsidR="0062731A" w:rsidRPr="009E2ADF" w:rsidRDefault="00AA6727" w:rsidP="001129FC">
            <w:pPr>
              <w:numPr>
                <w:ilvl w:val="0"/>
                <w:numId w:val="14"/>
              </w:numPr>
              <w:suppressAutoHyphens/>
              <w:ind w:left="250" w:hanging="250"/>
              <w:jc w:val="both"/>
            </w:pPr>
            <w:r>
              <w:t>Т</w:t>
            </w:r>
            <w:r w:rsidR="001129FC">
              <w:t>аблицы,</w:t>
            </w:r>
            <w:r w:rsidR="0062731A" w:rsidRPr="009E2ADF">
              <w:t xml:space="preserve"> рисунк</w:t>
            </w:r>
            <w:r w:rsidR="001129FC">
              <w:t>и</w:t>
            </w:r>
            <w:r w:rsidR="0062731A" w:rsidRPr="009E2ADF">
              <w:t>, формул</w:t>
            </w:r>
            <w:r w:rsidR="001129FC">
              <w:t>ы</w:t>
            </w:r>
            <w:r w:rsidR="0062731A" w:rsidRPr="009E2ADF">
              <w:t xml:space="preserve"> </w:t>
            </w:r>
            <w:r w:rsidR="00126A4C">
              <w:t>—</w:t>
            </w:r>
            <w:r w:rsidR="0062731A" w:rsidRPr="009E2ADF">
              <w:t xml:space="preserve"> </w:t>
            </w:r>
            <w:r w:rsidR="0062731A" w:rsidRPr="009E2ADF">
              <w:rPr>
                <w:b/>
                <w:color w:val="000000"/>
              </w:rPr>
              <w:t>12 пт</w:t>
            </w:r>
          </w:p>
          <w:p w:rsidR="0062731A" w:rsidRPr="009E2ADF" w:rsidRDefault="00AA6727" w:rsidP="001129FC">
            <w:pPr>
              <w:numPr>
                <w:ilvl w:val="0"/>
                <w:numId w:val="14"/>
              </w:numPr>
              <w:suppressAutoHyphens/>
              <w:ind w:left="250" w:hanging="250"/>
              <w:jc w:val="both"/>
              <w:rPr>
                <w:b/>
                <w:color w:val="000000"/>
              </w:rPr>
            </w:pPr>
            <w:r>
              <w:t>О</w:t>
            </w:r>
            <w:r w:rsidR="006270D0" w:rsidRPr="009E2ADF">
              <w:t>бъемны</w:t>
            </w:r>
            <w:r w:rsidR="001129FC">
              <w:t>е</w:t>
            </w:r>
            <w:r w:rsidR="006270D0" w:rsidRPr="009E2ADF">
              <w:t xml:space="preserve"> таблиц</w:t>
            </w:r>
            <w:r w:rsidR="001129FC">
              <w:t>ы</w:t>
            </w:r>
            <w:r w:rsidR="006270D0" w:rsidRPr="009E2ADF">
              <w:t xml:space="preserve"> </w:t>
            </w:r>
            <w:r w:rsidR="001129FC">
              <w:t xml:space="preserve">— </w:t>
            </w:r>
            <w:r w:rsidR="006270D0" w:rsidRPr="009E2ADF">
              <w:t xml:space="preserve">не меньше </w:t>
            </w:r>
            <w:r w:rsidR="006270D0" w:rsidRPr="009E2ADF">
              <w:rPr>
                <w:b/>
              </w:rPr>
              <w:t>10</w:t>
            </w:r>
            <w:r w:rsidR="00126A4C">
              <w:rPr>
                <w:b/>
              </w:rPr>
              <w:t xml:space="preserve"> </w:t>
            </w:r>
            <w:r w:rsidR="006270D0" w:rsidRPr="009E2ADF">
              <w:rPr>
                <w:b/>
              </w:rPr>
              <w:t>пт</w:t>
            </w:r>
          </w:p>
        </w:tc>
      </w:tr>
      <w:tr w:rsidR="0062731A" w:rsidRPr="009E2ADF" w:rsidTr="00547ECF">
        <w:trPr>
          <w:jc w:val="center"/>
        </w:trPr>
        <w:tc>
          <w:tcPr>
            <w:tcW w:w="1042" w:type="pct"/>
          </w:tcPr>
          <w:p w:rsidR="0062731A" w:rsidRPr="009E2ADF" w:rsidRDefault="0062731A" w:rsidP="005A4537">
            <w:pPr>
              <w:suppressAutoHyphens/>
              <w:jc w:val="both"/>
              <w:rPr>
                <w:b/>
              </w:rPr>
            </w:pPr>
            <w:r w:rsidRPr="009E2ADF">
              <w:rPr>
                <w:b/>
                <w:color w:val="000000"/>
              </w:rPr>
              <w:t>Цвет шрифта</w:t>
            </w:r>
          </w:p>
        </w:tc>
        <w:tc>
          <w:tcPr>
            <w:tcW w:w="3958" w:type="pct"/>
          </w:tcPr>
          <w:p w:rsidR="0062731A" w:rsidRPr="009E2ADF" w:rsidRDefault="00AA6727" w:rsidP="001129FC">
            <w:pPr>
              <w:suppressAutoHyphens/>
              <w:jc w:val="both"/>
            </w:pPr>
            <w:r>
              <w:rPr>
                <w:b/>
                <w:color w:val="000000"/>
              </w:rPr>
              <w:t>Ч</w:t>
            </w:r>
            <w:r w:rsidR="0062731A" w:rsidRPr="009E2ADF">
              <w:rPr>
                <w:b/>
                <w:color w:val="000000"/>
              </w:rPr>
              <w:t>ерный</w:t>
            </w:r>
            <w:r w:rsidR="0062731A" w:rsidRPr="009E2ADF">
              <w:rPr>
                <w:color w:val="000000"/>
              </w:rPr>
              <w:t xml:space="preserve">, рисунки и графики могут быть выполнены </w:t>
            </w:r>
            <w:r w:rsidR="0097791B">
              <w:rPr>
                <w:color w:val="000000"/>
              </w:rPr>
              <w:t>только</w:t>
            </w:r>
            <w:r w:rsidR="0062731A" w:rsidRPr="009E2ADF">
              <w:rPr>
                <w:color w:val="000000"/>
              </w:rPr>
              <w:t xml:space="preserve"> в черно-белой гамме</w:t>
            </w:r>
            <w:r w:rsidR="001129FC">
              <w:rPr>
                <w:color w:val="000000"/>
              </w:rPr>
              <w:t>; нельзя использовать сплошную заливку</w:t>
            </w:r>
          </w:p>
        </w:tc>
      </w:tr>
      <w:tr w:rsidR="0062731A" w:rsidRPr="009E2ADF" w:rsidTr="00547ECF">
        <w:trPr>
          <w:jc w:val="center"/>
        </w:trPr>
        <w:tc>
          <w:tcPr>
            <w:tcW w:w="1042" w:type="pct"/>
          </w:tcPr>
          <w:p w:rsidR="0062731A" w:rsidRPr="00126A4C" w:rsidRDefault="0062731A" w:rsidP="005A4537">
            <w:pPr>
              <w:suppressAutoHyphens/>
              <w:jc w:val="both"/>
              <w:rPr>
                <w:b/>
              </w:rPr>
            </w:pPr>
            <w:r w:rsidRPr="00126A4C">
              <w:rPr>
                <w:b/>
              </w:rPr>
              <w:t>Выравнивание</w:t>
            </w:r>
          </w:p>
        </w:tc>
        <w:tc>
          <w:tcPr>
            <w:tcW w:w="3958" w:type="pct"/>
          </w:tcPr>
          <w:p w:rsidR="0062731A" w:rsidRPr="00126A4C" w:rsidRDefault="00AA6727" w:rsidP="00C74C5E">
            <w:pPr>
              <w:numPr>
                <w:ilvl w:val="0"/>
                <w:numId w:val="15"/>
              </w:numPr>
              <w:suppressAutoHyphens/>
              <w:ind w:left="257" w:hanging="257"/>
              <w:jc w:val="both"/>
              <w:rPr>
                <w:b/>
              </w:rPr>
            </w:pPr>
            <w:r>
              <w:t>О</w:t>
            </w:r>
            <w:r w:rsidR="0062731A" w:rsidRPr="00126A4C">
              <w:t xml:space="preserve">сновной текст, список </w:t>
            </w:r>
            <w:r w:rsidR="001129FC">
              <w:t>источников,</w:t>
            </w:r>
            <w:r w:rsidR="0062731A" w:rsidRPr="00126A4C">
              <w:t xml:space="preserve"> сноски, </w:t>
            </w:r>
            <w:r w:rsidR="001129FC">
              <w:t>аннотация</w:t>
            </w:r>
            <w:r w:rsidR="0062731A" w:rsidRPr="00126A4C">
              <w:t xml:space="preserve"> и ключевые слова</w:t>
            </w:r>
            <w:r w:rsidR="00372800" w:rsidRPr="00126A4C">
              <w:t xml:space="preserve"> — </w:t>
            </w:r>
            <w:r>
              <w:rPr>
                <w:b/>
              </w:rPr>
              <w:t>по ширине</w:t>
            </w:r>
          </w:p>
          <w:p w:rsidR="0062731A" w:rsidRPr="00126A4C" w:rsidRDefault="00AA6727" w:rsidP="00C74C5E">
            <w:pPr>
              <w:numPr>
                <w:ilvl w:val="0"/>
                <w:numId w:val="15"/>
              </w:numPr>
              <w:suppressAutoHyphens/>
              <w:ind w:left="257" w:hanging="257"/>
              <w:jc w:val="both"/>
            </w:pPr>
            <w:r>
              <w:t>З</w:t>
            </w:r>
            <w:r w:rsidR="0062731A" w:rsidRPr="00126A4C">
              <w:t>аголовок</w:t>
            </w:r>
            <w:r w:rsidR="00372800" w:rsidRPr="00126A4C">
              <w:t xml:space="preserve"> — </w:t>
            </w:r>
            <w:r w:rsidR="0062731A" w:rsidRPr="00126A4C">
              <w:rPr>
                <w:b/>
              </w:rPr>
              <w:t>по центру</w:t>
            </w:r>
          </w:p>
        </w:tc>
      </w:tr>
      <w:tr w:rsidR="0062731A" w:rsidRPr="009E2ADF" w:rsidTr="00547ECF">
        <w:trPr>
          <w:jc w:val="center"/>
        </w:trPr>
        <w:tc>
          <w:tcPr>
            <w:tcW w:w="1042" w:type="pct"/>
          </w:tcPr>
          <w:p w:rsidR="0062731A" w:rsidRPr="00126A4C" w:rsidRDefault="0062731A" w:rsidP="005A4537">
            <w:pPr>
              <w:suppressAutoHyphens/>
              <w:jc w:val="both"/>
            </w:pPr>
            <w:r w:rsidRPr="00126A4C">
              <w:rPr>
                <w:b/>
              </w:rPr>
              <w:t>Абзац</w:t>
            </w:r>
          </w:p>
        </w:tc>
        <w:tc>
          <w:tcPr>
            <w:tcW w:w="3958" w:type="pct"/>
          </w:tcPr>
          <w:p w:rsidR="0062731A" w:rsidRPr="00126A4C" w:rsidRDefault="00AA6727" w:rsidP="001129FC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А</w:t>
            </w:r>
            <w:r w:rsidR="001129FC">
              <w:rPr>
                <w:b/>
              </w:rPr>
              <w:t>втоматический (</w:t>
            </w:r>
            <w:r w:rsidR="00372800" w:rsidRPr="00126A4C">
              <w:rPr>
                <w:b/>
              </w:rPr>
              <w:t>1,25</w:t>
            </w:r>
            <w:r w:rsidR="001129FC">
              <w:rPr>
                <w:b/>
              </w:rPr>
              <w:t>/1,27</w:t>
            </w:r>
            <w:r w:rsidR="00372800" w:rsidRPr="00126A4C">
              <w:rPr>
                <w:b/>
              </w:rPr>
              <w:t xml:space="preserve"> см</w:t>
            </w:r>
            <w:r w:rsidR="001129FC">
              <w:rPr>
                <w:b/>
              </w:rPr>
              <w:t>)</w:t>
            </w:r>
            <w:r w:rsidR="00126A4C" w:rsidRPr="001129FC">
              <w:t>,</w:t>
            </w:r>
            <w:r w:rsidR="006270D0" w:rsidRPr="00126A4C">
              <w:rPr>
                <w:b/>
              </w:rPr>
              <w:t xml:space="preserve"> </w:t>
            </w:r>
            <w:r w:rsidR="006270D0" w:rsidRPr="00126A4C">
              <w:t>не надо</w:t>
            </w:r>
            <w:r w:rsidR="001129FC">
              <w:t xml:space="preserve"> использовать пробелы и табуляцию</w:t>
            </w:r>
          </w:p>
        </w:tc>
      </w:tr>
      <w:tr w:rsidR="0062731A" w:rsidRPr="009E2ADF" w:rsidTr="00547ECF">
        <w:trPr>
          <w:jc w:val="center"/>
        </w:trPr>
        <w:tc>
          <w:tcPr>
            <w:tcW w:w="1042" w:type="pct"/>
          </w:tcPr>
          <w:p w:rsidR="0062731A" w:rsidRPr="00126A4C" w:rsidRDefault="0062731A" w:rsidP="005A4537">
            <w:pPr>
              <w:suppressAutoHyphens/>
              <w:jc w:val="both"/>
            </w:pPr>
            <w:r w:rsidRPr="00126A4C">
              <w:t>Расстояние</w:t>
            </w:r>
            <w:r w:rsidRPr="00126A4C">
              <w:rPr>
                <w:b/>
              </w:rPr>
              <w:t xml:space="preserve"> между абзацами</w:t>
            </w:r>
          </w:p>
        </w:tc>
        <w:tc>
          <w:tcPr>
            <w:tcW w:w="3958" w:type="pct"/>
          </w:tcPr>
          <w:p w:rsidR="0062731A" w:rsidRPr="00126A4C" w:rsidRDefault="0062731A" w:rsidP="00C74C5E">
            <w:pPr>
              <w:suppressAutoHyphens/>
              <w:jc w:val="both"/>
            </w:pPr>
            <w:r w:rsidRPr="00126A4C">
              <w:rPr>
                <w:b/>
              </w:rPr>
              <w:t>= 0</w:t>
            </w:r>
            <w:r w:rsidRPr="00126A4C">
              <w:t xml:space="preserve"> (см. Абзац</w:t>
            </w:r>
            <w:r w:rsidR="001129FC">
              <w:t xml:space="preserve"> → и</w:t>
            </w:r>
            <w:r w:rsidRPr="00126A4C">
              <w:t>нтервал</w:t>
            </w:r>
            <w:r w:rsidR="00C74C5E">
              <w:t>:</w:t>
            </w:r>
            <w:r w:rsidRPr="00126A4C">
              <w:t xml:space="preserve"> перед </w:t>
            </w:r>
            <w:r w:rsidR="00C74C5E">
              <w:t>=</w:t>
            </w:r>
            <w:r w:rsidR="00126A4C">
              <w:t> </w:t>
            </w:r>
            <w:r w:rsidRPr="00126A4C">
              <w:t>0; после</w:t>
            </w:r>
            <w:r w:rsidR="00372800" w:rsidRPr="00126A4C">
              <w:t xml:space="preserve"> </w:t>
            </w:r>
            <w:r w:rsidRPr="00126A4C">
              <w:t>=</w:t>
            </w:r>
            <w:r w:rsidR="00126A4C">
              <w:t> </w:t>
            </w:r>
            <w:r w:rsidRPr="00126A4C">
              <w:t>0)</w:t>
            </w:r>
          </w:p>
        </w:tc>
      </w:tr>
      <w:tr w:rsidR="006270D0" w:rsidRPr="009E2ADF" w:rsidTr="00547ECF">
        <w:trPr>
          <w:jc w:val="center"/>
        </w:trPr>
        <w:tc>
          <w:tcPr>
            <w:tcW w:w="1042" w:type="pct"/>
          </w:tcPr>
          <w:p w:rsidR="006270D0" w:rsidRPr="00C74C5E" w:rsidRDefault="006270D0" w:rsidP="005A4537">
            <w:pPr>
              <w:suppressAutoHyphens/>
              <w:jc w:val="both"/>
              <w:rPr>
                <w:b/>
              </w:rPr>
            </w:pPr>
            <w:r w:rsidRPr="00C74C5E">
              <w:rPr>
                <w:b/>
              </w:rPr>
              <w:t>Таблицы</w:t>
            </w:r>
          </w:p>
        </w:tc>
        <w:tc>
          <w:tcPr>
            <w:tcW w:w="3958" w:type="pct"/>
          </w:tcPr>
          <w:p w:rsidR="00C74C5E" w:rsidRDefault="00AA6727" w:rsidP="00C74C5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57" w:hanging="257"/>
            </w:pPr>
            <w:r>
              <w:t>Н</w:t>
            </w:r>
            <w:r w:rsidR="006270D0" w:rsidRPr="00C74C5E">
              <w:t>умерация</w:t>
            </w:r>
            <w:r w:rsidR="00C74C5E">
              <w:t>:</w:t>
            </w:r>
            <w:r w:rsidR="006270D0" w:rsidRPr="00C74C5E">
              <w:t xml:space="preserve"> сквозная по стать</w:t>
            </w:r>
            <w:r>
              <w:t>е</w:t>
            </w:r>
          </w:p>
          <w:p w:rsidR="006270D0" w:rsidRPr="00C74C5E" w:rsidRDefault="00AA6727" w:rsidP="00C74C5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57" w:hanging="257"/>
            </w:pPr>
            <w:r>
              <w:t>О</w:t>
            </w:r>
            <w:r w:rsidR="006270D0" w:rsidRPr="00C74C5E">
              <w:t xml:space="preserve">тсканированные таблицы, таблицы в формате </w:t>
            </w:r>
            <w:r w:rsidR="00C74C5E" w:rsidRPr="00C74C5E">
              <w:t>.</w:t>
            </w:r>
            <w:r w:rsidR="00C74C5E" w:rsidRPr="00C74C5E">
              <w:rPr>
                <w:lang w:val="en-US"/>
              </w:rPr>
              <w:t>j</w:t>
            </w:r>
            <w:r w:rsidR="006270D0" w:rsidRPr="00C74C5E">
              <w:rPr>
                <w:lang w:val="en-US"/>
              </w:rPr>
              <w:t>p</w:t>
            </w:r>
            <w:r w:rsidR="00C74C5E" w:rsidRPr="00C74C5E">
              <w:rPr>
                <w:lang w:val="en-US"/>
              </w:rPr>
              <w:t>e</w:t>
            </w:r>
            <w:r w:rsidR="006270D0" w:rsidRPr="00C74C5E">
              <w:rPr>
                <w:lang w:val="en-US"/>
              </w:rPr>
              <w:t>g</w:t>
            </w:r>
            <w:r>
              <w:t xml:space="preserve"> не допускаются</w:t>
            </w:r>
          </w:p>
          <w:p w:rsidR="00C74C5E" w:rsidRPr="00C74C5E" w:rsidRDefault="00AA6727" w:rsidP="00C74C5E">
            <w:pPr>
              <w:numPr>
                <w:ilvl w:val="0"/>
                <w:numId w:val="16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57" w:hanging="257"/>
              <w:jc w:val="both"/>
            </w:pPr>
            <w:r>
              <w:t>Н</w:t>
            </w:r>
            <w:r w:rsidR="00495A90" w:rsidRPr="00C74C5E">
              <w:t>омер таблицы</w:t>
            </w:r>
            <w:r w:rsidR="00C74C5E" w:rsidRPr="00C74C5E">
              <w:t>:</w:t>
            </w:r>
            <w:r w:rsidR="00495A90" w:rsidRPr="00C74C5E">
              <w:t xml:space="preserve"> </w:t>
            </w:r>
            <w:r w:rsidR="00FD4CEF" w:rsidRPr="00C74C5E">
              <w:t xml:space="preserve">над </w:t>
            </w:r>
            <w:r w:rsidR="00495A90" w:rsidRPr="00C74C5E">
              <w:t>названием, выключ</w:t>
            </w:r>
            <w:r w:rsidR="00C74C5E" w:rsidRPr="00C74C5E">
              <w:t>ка</w:t>
            </w:r>
            <w:r w:rsidR="00495A90" w:rsidRPr="00C74C5E">
              <w:t xml:space="preserve"> вправо</w:t>
            </w:r>
            <w:r w:rsidR="00126A4C" w:rsidRPr="00C74C5E">
              <w:t>,</w:t>
            </w:r>
            <w:r w:rsidR="00495A90" w:rsidRPr="00C74C5E">
              <w:t xml:space="preserve"> </w:t>
            </w:r>
            <w:r w:rsidR="00C74C5E" w:rsidRPr="00C74C5E">
              <w:t>обычное начертание</w:t>
            </w:r>
            <w:r w:rsidR="00C74C5E">
              <w:t xml:space="preserve">; </w:t>
            </w:r>
            <w:r w:rsidR="00C74C5E" w:rsidRPr="00C74C5E">
              <w:t>кегль 14, интервал одинарный</w:t>
            </w:r>
            <w:r w:rsidR="00C74C5E">
              <w:t>, интервал перед = 6, после = 0</w:t>
            </w:r>
          </w:p>
          <w:p w:rsidR="00495A90" w:rsidRPr="00C74C5E" w:rsidRDefault="00AA6727" w:rsidP="00C74C5E">
            <w:pPr>
              <w:numPr>
                <w:ilvl w:val="0"/>
                <w:numId w:val="16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257" w:hanging="257"/>
              <w:jc w:val="both"/>
            </w:pPr>
            <w:r>
              <w:t>Н</w:t>
            </w:r>
            <w:r w:rsidR="00495A90" w:rsidRPr="00C74C5E">
              <w:t>азвание таблицы</w:t>
            </w:r>
            <w:r w:rsidR="00C74C5E" w:rsidRPr="00C74C5E">
              <w:t>:</w:t>
            </w:r>
            <w:r w:rsidR="00495A90" w:rsidRPr="00C74C5E">
              <w:t xml:space="preserve"> над таблицей </w:t>
            </w:r>
            <w:r w:rsidR="00EB6183" w:rsidRPr="00C74C5E">
              <w:t>по центру</w:t>
            </w:r>
            <w:r w:rsidR="00C74C5E" w:rsidRPr="00C74C5E">
              <w:t>, жирное начертание, кегль 14, интервал одинарный</w:t>
            </w:r>
            <w:r w:rsidR="00C74C5E">
              <w:t>, интервал перед = 0, после =</w:t>
            </w:r>
            <w:r>
              <w:t xml:space="preserve"> 6</w:t>
            </w:r>
          </w:p>
          <w:p w:rsidR="00C74C5E" w:rsidRDefault="00AA6727" w:rsidP="00C74C5E">
            <w:pPr>
              <w:numPr>
                <w:ilvl w:val="0"/>
                <w:numId w:val="16"/>
              </w:numPr>
              <w:tabs>
                <w:tab w:val="left" w:pos="257"/>
              </w:tabs>
              <w:autoSpaceDE w:val="0"/>
              <w:autoSpaceDN w:val="0"/>
              <w:adjustRightInd w:val="0"/>
              <w:ind w:left="257" w:hanging="257"/>
              <w:jc w:val="both"/>
            </w:pPr>
            <w:r>
              <w:lastRenderedPageBreak/>
              <w:t>О</w:t>
            </w:r>
            <w:r w:rsidR="00AF0491" w:rsidRPr="00C74C5E">
              <w:t>формление</w:t>
            </w:r>
            <w:r w:rsidR="00C74C5E">
              <w:t xml:space="preserve"> таблиц</w:t>
            </w:r>
            <w:r w:rsidR="00AF0491" w:rsidRPr="00C74C5E">
              <w:t>: единое</w:t>
            </w:r>
            <w:r>
              <w:t xml:space="preserve"> по всей статье</w:t>
            </w:r>
          </w:p>
          <w:p w:rsidR="00AF0491" w:rsidRPr="00C74C5E" w:rsidRDefault="00AA6727" w:rsidP="00C74C5E">
            <w:pPr>
              <w:numPr>
                <w:ilvl w:val="0"/>
                <w:numId w:val="16"/>
              </w:numPr>
              <w:tabs>
                <w:tab w:val="left" w:pos="257"/>
              </w:tabs>
              <w:autoSpaceDE w:val="0"/>
              <w:autoSpaceDN w:val="0"/>
              <w:adjustRightInd w:val="0"/>
              <w:ind w:left="257" w:hanging="257"/>
              <w:jc w:val="both"/>
            </w:pPr>
            <w:r>
              <w:t>Г</w:t>
            </w:r>
            <w:r w:rsidR="00AF0491" w:rsidRPr="00C74C5E">
              <w:t xml:space="preserve">арнитура: </w:t>
            </w:r>
            <w:r w:rsidR="00AF0491" w:rsidRPr="00C74C5E">
              <w:rPr>
                <w:lang w:val="en-US"/>
              </w:rPr>
              <w:t>Times</w:t>
            </w:r>
            <w:r w:rsidR="00AF0491" w:rsidRPr="00C74C5E">
              <w:t xml:space="preserve"> </w:t>
            </w:r>
            <w:r w:rsidR="00AF0491" w:rsidRPr="00C74C5E">
              <w:rPr>
                <w:lang w:val="en-US"/>
              </w:rPr>
              <w:t>New</w:t>
            </w:r>
            <w:r w:rsidR="00AF0491" w:rsidRPr="00C74C5E">
              <w:t xml:space="preserve"> </w:t>
            </w:r>
            <w:r w:rsidR="00AF0491" w:rsidRPr="00C74C5E">
              <w:rPr>
                <w:lang w:val="en-US"/>
              </w:rPr>
              <w:t>Roman</w:t>
            </w:r>
          </w:p>
          <w:p w:rsidR="00AF0491" w:rsidRPr="00C74C5E" w:rsidRDefault="00AA6727" w:rsidP="00C74C5E">
            <w:pPr>
              <w:numPr>
                <w:ilvl w:val="0"/>
                <w:numId w:val="16"/>
              </w:numPr>
              <w:tabs>
                <w:tab w:val="left" w:pos="257"/>
              </w:tabs>
              <w:autoSpaceDE w:val="0"/>
              <w:autoSpaceDN w:val="0"/>
              <w:adjustRightInd w:val="0"/>
              <w:ind w:left="257" w:hanging="257"/>
              <w:jc w:val="both"/>
            </w:pPr>
            <w:r>
              <w:t>К</w:t>
            </w:r>
            <w:r w:rsidR="00AF0491" w:rsidRPr="00C74C5E">
              <w:t>егль: 12</w:t>
            </w:r>
            <w:r>
              <w:t>; объемные таблицы: не менее 10</w:t>
            </w:r>
          </w:p>
          <w:p w:rsidR="00AF0491" w:rsidRPr="00C74C5E" w:rsidRDefault="00AA6727" w:rsidP="00C74C5E">
            <w:pPr>
              <w:numPr>
                <w:ilvl w:val="0"/>
                <w:numId w:val="16"/>
              </w:numPr>
              <w:tabs>
                <w:tab w:val="left" w:pos="257"/>
              </w:tabs>
              <w:ind w:left="257" w:hanging="257"/>
              <w:jc w:val="both"/>
            </w:pPr>
            <w:r>
              <w:t>М</w:t>
            </w:r>
            <w:r w:rsidR="00AF0491" w:rsidRPr="00C74C5E">
              <w:t>ежстрочный интервал: одинарный</w:t>
            </w:r>
          </w:p>
          <w:p w:rsidR="00AF0491" w:rsidRPr="00C74C5E" w:rsidRDefault="00AA6727" w:rsidP="00C74C5E">
            <w:pPr>
              <w:numPr>
                <w:ilvl w:val="0"/>
                <w:numId w:val="16"/>
              </w:numPr>
              <w:tabs>
                <w:tab w:val="left" w:pos="257"/>
              </w:tabs>
              <w:ind w:left="257" w:hanging="257"/>
              <w:jc w:val="both"/>
            </w:pPr>
            <w:r>
              <w:t>З</w:t>
            </w:r>
            <w:r w:rsidR="00AF0491" w:rsidRPr="00C74C5E">
              <w:t xml:space="preserve">аголовки граф: </w:t>
            </w:r>
            <w:bookmarkStart w:id="0" w:name="OLE_LINK1"/>
            <w:bookmarkStart w:id="1" w:name="OLE_LINK2"/>
            <w:r w:rsidR="00AF0491" w:rsidRPr="00C74C5E">
              <w:t>выравнивание по центру, жирное начертание</w:t>
            </w:r>
          </w:p>
          <w:bookmarkEnd w:id="0"/>
          <w:bookmarkEnd w:id="1"/>
          <w:p w:rsidR="00C74C5E" w:rsidRDefault="00AA6727" w:rsidP="00C74C5E">
            <w:pPr>
              <w:numPr>
                <w:ilvl w:val="0"/>
                <w:numId w:val="16"/>
              </w:numPr>
              <w:tabs>
                <w:tab w:val="left" w:pos="257"/>
              </w:tabs>
              <w:ind w:left="257" w:hanging="257"/>
              <w:jc w:val="both"/>
            </w:pPr>
            <w:r>
              <w:t>В</w:t>
            </w:r>
            <w:r w:rsidR="00C74C5E">
              <w:t xml:space="preserve"> таблице не должно быть пустых ячеек</w:t>
            </w:r>
            <w:r>
              <w:t xml:space="preserve"> </w:t>
            </w:r>
            <w:r w:rsidRPr="00AA6727">
              <w:t xml:space="preserve">— </w:t>
            </w:r>
            <w:r>
              <w:t>при отсутствии данных ставится прочерк</w:t>
            </w:r>
            <w:r w:rsidR="00C74C5E">
              <w:t>; все столбцы и строки должны иметь название</w:t>
            </w:r>
          </w:p>
          <w:p w:rsidR="00AA6727" w:rsidRDefault="00AA6727" w:rsidP="00C74C5E">
            <w:pPr>
              <w:numPr>
                <w:ilvl w:val="0"/>
                <w:numId w:val="16"/>
              </w:numPr>
              <w:tabs>
                <w:tab w:val="left" w:pos="257"/>
              </w:tabs>
              <w:ind w:left="257" w:hanging="257"/>
              <w:jc w:val="both"/>
            </w:pPr>
            <w:r>
              <w:t>Все первые слова в таблице должны начинаться с Заглавной буквы</w:t>
            </w:r>
          </w:p>
          <w:p w:rsidR="00C74C5E" w:rsidRPr="00187A84" w:rsidRDefault="00AA6727" w:rsidP="00C74C5E">
            <w:pPr>
              <w:numPr>
                <w:ilvl w:val="0"/>
                <w:numId w:val="16"/>
              </w:numPr>
              <w:tabs>
                <w:tab w:val="left" w:pos="257"/>
              </w:tabs>
              <w:ind w:left="257" w:hanging="257"/>
              <w:jc w:val="both"/>
            </w:pPr>
            <w:r>
              <w:t>Т</w:t>
            </w:r>
            <w:r w:rsidR="00C74C5E">
              <w:t xml:space="preserve">аблицы должны быть набраны в </w:t>
            </w:r>
            <w:r w:rsidR="00C74C5E" w:rsidRPr="00C74C5E">
              <w:rPr>
                <w:color w:val="000000"/>
              </w:rPr>
              <w:t xml:space="preserve">редакторе </w:t>
            </w:r>
            <w:r w:rsidR="00C74C5E" w:rsidRPr="00C74C5E">
              <w:rPr>
                <w:color w:val="000000"/>
                <w:lang w:val="en-US"/>
              </w:rPr>
              <w:t>W</w:t>
            </w:r>
            <w:r w:rsidR="00C74C5E" w:rsidRPr="00C74C5E">
              <w:rPr>
                <w:color w:val="000000"/>
              </w:rPr>
              <w:t>ord</w:t>
            </w:r>
          </w:p>
          <w:p w:rsidR="00383FBE" w:rsidRPr="009E2ADF" w:rsidRDefault="00AA6727" w:rsidP="00187A84">
            <w:pPr>
              <w:numPr>
                <w:ilvl w:val="0"/>
                <w:numId w:val="16"/>
              </w:numPr>
              <w:tabs>
                <w:tab w:val="left" w:pos="257"/>
              </w:tabs>
              <w:ind w:left="257" w:hanging="257"/>
              <w:jc w:val="both"/>
            </w:pPr>
            <w:r>
              <w:rPr>
                <w:color w:val="000000"/>
              </w:rPr>
              <w:t>Н</w:t>
            </w:r>
            <w:r w:rsidR="00187A84" w:rsidRPr="00303D70">
              <w:rPr>
                <w:color w:val="000000"/>
              </w:rPr>
              <w:t xml:space="preserve">а все таблицы должны быть </w:t>
            </w:r>
            <w:r w:rsidR="00187A84">
              <w:rPr>
                <w:b/>
                <w:color w:val="000000"/>
              </w:rPr>
              <w:t>ссылки</w:t>
            </w:r>
            <w:r w:rsidR="00187A84" w:rsidRPr="00303D70">
              <w:rPr>
                <w:b/>
                <w:color w:val="000000"/>
              </w:rPr>
              <w:t xml:space="preserve"> в тексте</w:t>
            </w:r>
          </w:p>
        </w:tc>
      </w:tr>
      <w:tr w:rsidR="0062731A" w:rsidRPr="009E2ADF" w:rsidTr="00547ECF">
        <w:trPr>
          <w:jc w:val="center"/>
        </w:trPr>
        <w:tc>
          <w:tcPr>
            <w:tcW w:w="1042" w:type="pct"/>
          </w:tcPr>
          <w:p w:rsidR="0062731A" w:rsidRPr="00187A84" w:rsidRDefault="0062731A" w:rsidP="0062731A">
            <w:pPr>
              <w:suppressAutoHyphens/>
              <w:jc w:val="both"/>
              <w:rPr>
                <w:b/>
              </w:rPr>
            </w:pPr>
            <w:r w:rsidRPr="00187A84">
              <w:rPr>
                <w:b/>
              </w:rPr>
              <w:lastRenderedPageBreak/>
              <w:t>Формулы</w:t>
            </w:r>
          </w:p>
        </w:tc>
        <w:tc>
          <w:tcPr>
            <w:tcW w:w="3958" w:type="pct"/>
          </w:tcPr>
          <w:p w:rsidR="00187A84" w:rsidRDefault="00AA6727" w:rsidP="00187A84">
            <w:pPr>
              <w:numPr>
                <w:ilvl w:val="0"/>
                <w:numId w:val="17"/>
              </w:numPr>
              <w:suppressAutoHyphens/>
              <w:ind w:left="225" w:hanging="225"/>
              <w:jc w:val="both"/>
            </w:pPr>
            <w:r>
              <w:t>И</w:t>
            </w:r>
            <w:r w:rsidR="00187A84" w:rsidRPr="00187A84">
              <w:t>нтервал</w:t>
            </w:r>
            <w:r w:rsidR="0062731A" w:rsidRPr="00187A84">
              <w:t xml:space="preserve"> между формулой и текстом </w:t>
            </w:r>
            <w:r w:rsidR="00187A84" w:rsidRPr="00187A84">
              <w:t>= 6</w:t>
            </w:r>
          </w:p>
          <w:p w:rsidR="00187A84" w:rsidRDefault="00AA6727" w:rsidP="00187A84">
            <w:pPr>
              <w:numPr>
                <w:ilvl w:val="0"/>
                <w:numId w:val="17"/>
              </w:numPr>
              <w:suppressAutoHyphens/>
              <w:ind w:left="225" w:hanging="225"/>
              <w:jc w:val="both"/>
            </w:pPr>
            <w:r>
              <w:t>В</w:t>
            </w:r>
            <w:r w:rsidR="00255EC1" w:rsidRPr="004A7E12">
              <w:t>ыравнивание</w:t>
            </w:r>
            <w:r w:rsidR="00187A84">
              <w:t>:</w:t>
            </w:r>
            <w:r w:rsidR="00255EC1" w:rsidRPr="004A7E12">
              <w:t xml:space="preserve"> по центру</w:t>
            </w:r>
          </w:p>
          <w:p w:rsidR="00187A84" w:rsidRDefault="00AA6727" w:rsidP="00187A84">
            <w:pPr>
              <w:numPr>
                <w:ilvl w:val="0"/>
                <w:numId w:val="17"/>
              </w:numPr>
              <w:suppressAutoHyphens/>
              <w:ind w:left="225" w:hanging="225"/>
              <w:jc w:val="both"/>
            </w:pPr>
            <w:r>
              <w:t>Н</w:t>
            </w:r>
            <w:r w:rsidR="00187A84">
              <w:t>умерация: необходима, если на формулу есть ссылка в тексте; выключка номера вправо</w:t>
            </w:r>
          </w:p>
          <w:p w:rsidR="00187A84" w:rsidRDefault="00AA6727" w:rsidP="00187A84">
            <w:pPr>
              <w:numPr>
                <w:ilvl w:val="0"/>
                <w:numId w:val="17"/>
              </w:numPr>
              <w:suppressAutoHyphens/>
              <w:ind w:left="225" w:hanging="225"/>
              <w:jc w:val="both"/>
            </w:pPr>
            <w:r>
              <w:t>Д</w:t>
            </w:r>
            <w:r w:rsidR="00187A84">
              <w:t>ля набора формул</w:t>
            </w:r>
            <w:r w:rsidR="00383FBE" w:rsidRPr="004A7E12">
              <w:t xml:space="preserve"> рекомендуется </w:t>
            </w:r>
            <w:r w:rsidR="00383FBE" w:rsidRPr="00187A84">
              <w:rPr>
                <w:b/>
              </w:rPr>
              <w:t>использовать компьютерны</w:t>
            </w:r>
            <w:r w:rsidR="00FD4CEF" w:rsidRPr="00187A84">
              <w:rPr>
                <w:b/>
              </w:rPr>
              <w:t>й</w:t>
            </w:r>
            <w:r w:rsidR="00383FBE" w:rsidRPr="00187A84">
              <w:rPr>
                <w:b/>
              </w:rPr>
              <w:t xml:space="preserve"> редактор формул (M</w:t>
            </w:r>
            <w:r w:rsidR="00303D70" w:rsidRPr="00187A84">
              <w:rPr>
                <w:b/>
                <w:lang w:val="en-US"/>
              </w:rPr>
              <w:t>athType</w:t>
            </w:r>
            <w:r w:rsidR="00383FBE" w:rsidRPr="00187A84">
              <w:rPr>
                <w:b/>
              </w:rPr>
              <w:t>)</w:t>
            </w:r>
            <w:r w:rsidR="008931DE" w:rsidRPr="00187A84">
              <w:rPr>
                <w:b/>
              </w:rPr>
              <w:t xml:space="preserve"> до 6 верси</w:t>
            </w:r>
            <w:r w:rsidR="00187A84">
              <w:rPr>
                <w:b/>
              </w:rPr>
              <w:t>и</w:t>
            </w:r>
            <w:r w:rsidR="00383FBE" w:rsidRPr="004A7E12">
              <w:t xml:space="preserve"> </w:t>
            </w:r>
            <w:r w:rsidR="00187A84">
              <w:t>(программа верстки</w:t>
            </w:r>
            <w:r w:rsidR="00725B34" w:rsidRPr="004A7E12">
              <w:t xml:space="preserve"> интегрирована с этим математическим редактором</w:t>
            </w:r>
            <w:r w:rsidR="00187A84">
              <w:t xml:space="preserve">); если нет доступа к рекомендованному редактору, то используется встроенный редактор </w:t>
            </w:r>
            <w:r w:rsidR="00187A84">
              <w:rPr>
                <w:lang w:val="en-US"/>
              </w:rPr>
              <w:t>Word</w:t>
            </w:r>
          </w:p>
          <w:p w:rsidR="0062731A" w:rsidRPr="00187A84" w:rsidRDefault="00AA6727" w:rsidP="00187A84">
            <w:pPr>
              <w:numPr>
                <w:ilvl w:val="0"/>
                <w:numId w:val="17"/>
              </w:numPr>
              <w:suppressAutoHyphens/>
              <w:ind w:left="225" w:hanging="225"/>
              <w:jc w:val="both"/>
            </w:pPr>
            <w:r>
              <w:t>П</w:t>
            </w:r>
            <w:r w:rsidR="00FB7FEF" w:rsidRPr="004A7E12">
              <w:t>ростые формулы набирать как обычный текст с пробелами перед и после мат</w:t>
            </w:r>
            <w:r w:rsidR="00187A84">
              <w:t>ематических знаков; м</w:t>
            </w:r>
            <w:r w:rsidR="00FB7FEF" w:rsidRPr="004A7E12">
              <w:t xml:space="preserve">инус набирается </w:t>
            </w:r>
            <w:r w:rsidR="00187A84">
              <w:t>как среднее тире</w:t>
            </w:r>
          </w:p>
        </w:tc>
      </w:tr>
      <w:tr w:rsidR="006270D0" w:rsidRPr="009E2ADF" w:rsidTr="00547ECF">
        <w:trPr>
          <w:jc w:val="center"/>
        </w:trPr>
        <w:tc>
          <w:tcPr>
            <w:tcW w:w="1042" w:type="pct"/>
          </w:tcPr>
          <w:p w:rsidR="006270D0" w:rsidRPr="009E2ADF" w:rsidRDefault="006270D0" w:rsidP="0062731A">
            <w:pPr>
              <w:suppressAutoHyphens/>
              <w:jc w:val="both"/>
            </w:pPr>
            <w:r w:rsidRPr="009E2ADF">
              <w:rPr>
                <w:b/>
                <w:bCs/>
              </w:rPr>
              <w:t>Иллюстрации (графики, диаграммы, схемы и др.)</w:t>
            </w:r>
          </w:p>
        </w:tc>
        <w:tc>
          <w:tcPr>
            <w:tcW w:w="3958" w:type="pct"/>
          </w:tcPr>
          <w:p w:rsidR="00187A84" w:rsidRDefault="00AA6727" w:rsidP="006270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27" w:hanging="227"/>
              <w:jc w:val="both"/>
            </w:pPr>
            <w:r>
              <w:t>И</w:t>
            </w:r>
            <w:r w:rsidR="008624C4" w:rsidRPr="00187A84">
              <w:t xml:space="preserve">зображения </w:t>
            </w:r>
            <w:r w:rsidR="008624C4">
              <w:t>ч</w:t>
            </w:r>
            <w:r w:rsidR="006270D0" w:rsidRPr="009E2ADF">
              <w:t>ерно-белы</w:t>
            </w:r>
            <w:r w:rsidR="008624C4">
              <w:t xml:space="preserve">е, </w:t>
            </w:r>
            <w:r w:rsidR="00187A84">
              <w:t>без сплошной заливки, предоставляются в той программе, в которой созданы, и в виде картинки в тексте</w:t>
            </w:r>
            <w:r w:rsidR="006270D0" w:rsidRPr="009E2ADF">
              <w:t xml:space="preserve">. </w:t>
            </w:r>
            <w:r w:rsidR="008624C4">
              <w:t xml:space="preserve">Все изображения </w:t>
            </w:r>
            <w:r w:rsidR="00187A84">
              <w:t xml:space="preserve">должны быть сохранены </w:t>
            </w:r>
            <w:r w:rsidR="008624C4">
              <w:t>в отдельн</w:t>
            </w:r>
            <w:r w:rsidR="00187A84">
              <w:t>ой</w:t>
            </w:r>
            <w:r w:rsidR="008624C4">
              <w:t xml:space="preserve"> папк</w:t>
            </w:r>
            <w:r w:rsidR="00187A84">
              <w:t>е</w:t>
            </w:r>
          </w:p>
          <w:p w:rsidR="003D7D00" w:rsidRDefault="00AA6727" w:rsidP="006270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27" w:hanging="227"/>
              <w:jc w:val="both"/>
            </w:pPr>
            <w:r>
              <w:t>Н</w:t>
            </w:r>
            <w:r w:rsidR="006270D0" w:rsidRPr="00187A84">
              <w:t>умерация</w:t>
            </w:r>
            <w:r w:rsidR="00187A84">
              <w:t>:</w:t>
            </w:r>
            <w:r w:rsidR="006270D0" w:rsidRPr="00187A84">
              <w:t xml:space="preserve"> </w:t>
            </w:r>
            <w:r w:rsidR="006270D0" w:rsidRPr="009E2ADF">
              <w:t xml:space="preserve">сквозная по </w:t>
            </w:r>
            <w:r>
              <w:t>статье</w:t>
            </w:r>
          </w:p>
          <w:p w:rsidR="003D7D00" w:rsidRDefault="00AA6727" w:rsidP="003D7D0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27" w:hanging="227"/>
              <w:jc w:val="both"/>
            </w:pPr>
            <w:r>
              <w:t>П</w:t>
            </w:r>
            <w:r w:rsidR="0097791B">
              <w:t>одрисуночные подписи</w:t>
            </w:r>
            <w:r w:rsidR="003D7D00">
              <w:t xml:space="preserve">: </w:t>
            </w:r>
            <w:r w:rsidR="003D7D00" w:rsidRPr="009E2ADF">
              <w:t>обязательны</w:t>
            </w:r>
            <w:r w:rsidR="003D7D00">
              <w:t>; кегль</w:t>
            </w:r>
            <w:r w:rsidR="0097791B">
              <w:t xml:space="preserve"> 1</w:t>
            </w:r>
            <w:r>
              <w:t>4, интервал одинарный</w:t>
            </w:r>
          </w:p>
          <w:p w:rsidR="005C3B67" w:rsidRPr="003D7D00" w:rsidRDefault="00AA6727" w:rsidP="003D7D0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27" w:hanging="227"/>
              <w:jc w:val="both"/>
              <w:rPr>
                <w:i/>
              </w:rPr>
            </w:pPr>
            <w:r>
              <w:t>Н</w:t>
            </w:r>
            <w:r w:rsidR="005C3B67" w:rsidRPr="009E2ADF">
              <w:t xml:space="preserve">а все иллюстрации должны быть </w:t>
            </w:r>
            <w:r w:rsidR="003D7D00">
              <w:rPr>
                <w:b/>
              </w:rPr>
              <w:t>ссылки</w:t>
            </w:r>
            <w:r w:rsidR="005C3B67" w:rsidRPr="003D7D00">
              <w:rPr>
                <w:b/>
              </w:rPr>
              <w:t xml:space="preserve"> в тексте </w:t>
            </w:r>
            <w:r w:rsidR="00ED5A60" w:rsidRPr="003D7D00">
              <w:rPr>
                <w:b/>
              </w:rPr>
              <w:t>статьи</w:t>
            </w:r>
          </w:p>
          <w:p w:rsidR="003D7D00" w:rsidRPr="00126A4C" w:rsidRDefault="00AA6727" w:rsidP="003D7D0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27" w:hanging="227"/>
              <w:jc w:val="both"/>
              <w:rPr>
                <w:i/>
              </w:rPr>
            </w:pPr>
            <w:r>
              <w:t>Н</w:t>
            </w:r>
            <w:r w:rsidR="003D7D00">
              <w:t>е допускаются отсканированные рисунки</w:t>
            </w:r>
          </w:p>
        </w:tc>
      </w:tr>
      <w:tr w:rsidR="0062731A" w:rsidRPr="009E2ADF" w:rsidTr="00547ECF">
        <w:trPr>
          <w:jc w:val="center"/>
        </w:trPr>
        <w:tc>
          <w:tcPr>
            <w:tcW w:w="1042" w:type="pct"/>
          </w:tcPr>
          <w:p w:rsidR="0062731A" w:rsidRPr="009E2ADF" w:rsidRDefault="0062731A" w:rsidP="005A4537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9E2ADF">
              <w:rPr>
                <w:b/>
                <w:color w:val="000000"/>
              </w:rPr>
              <w:t>Имена собственные</w:t>
            </w:r>
          </w:p>
        </w:tc>
        <w:tc>
          <w:tcPr>
            <w:tcW w:w="3958" w:type="pct"/>
          </w:tcPr>
          <w:p w:rsidR="0062731A" w:rsidRPr="009E2ADF" w:rsidRDefault="0062731A" w:rsidP="00AB4353">
            <w:pPr>
              <w:suppressAutoHyphens/>
              <w:jc w:val="both"/>
              <w:rPr>
                <w:color w:val="000000"/>
              </w:rPr>
            </w:pPr>
            <w:r w:rsidRPr="009E2ADF">
              <w:rPr>
                <w:color w:val="000000"/>
              </w:rPr>
              <w:t>Фамилии, названия предприятий, фирм, изделий и т</w:t>
            </w:r>
            <w:r w:rsidR="003D7D00">
              <w:rPr>
                <w:color w:val="000000"/>
              </w:rPr>
              <w:t>.</w:t>
            </w:r>
            <w:r w:rsidR="00EB6183">
              <w:rPr>
                <w:color w:val="000000"/>
              </w:rPr>
              <w:t>п.</w:t>
            </w:r>
            <w:r w:rsidRPr="009E2ADF">
              <w:rPr>
                <w:color w:val="000000"/>
              </w:rPr>
              <w:t xml:space="preserve"> приводят на языке оригинала. Допускается </w:t>
            </w:r>
            <w:r w:rsidR="00AB4353">
              <w:rPr>
                <w:color w:val="000000"/>
              </w:rPr>
              <w:t>транслитерация</w:t>
            </w:r>
            <w:r w:rsidRPr="009E2ADF">
              <w:rPr>
                <w:color w:val="000000"/>
              </w:rPr>
              <w:t xml:space="preserve"> имен собственны</w:t>
            </w:r>
            <w:r w:rsidR="00AB4353">
              <w:rPr>
                <w:color w:val="000000"/>
              </w:rPr>
              <w:t>х</w:t>
            </w:r>
            <w:r w:rsidRPr="009E2ADF">
              <w:rPr>
                <w:color w:val="000000"/>
              </w:rPr>
              <w:t xml:space="preserve"> русски</w:t>
            </w:r>
            <w:r w:rsidR="00AB4353">
              <w:rPr>
                <w:color w:val="000000"/>
              </w:rPr>
              <w:t>ми буквами</w:t>
            </w:r>
            <w:r w:rsidRPr="009E2ADF">
              <w:rPr>
                <w:color w:val="000000"/>
              </w:rPr>
              <w:t xml:space="preserve"> с добавлением (при первом упоминании) оригинального названия</w:t>
            </w:r>
          </w:p>
        </w:tc>
      </w:tr>
      <w:tr w:rsidR="0062731A" w:rsidRPr="009E2ADF" w:rsidTr="00547ECF">
        <w:trPr>
          <w:trHeight w:val="1058"/>
          <w:jc w:val="center"/>
        </w:trPr>
        <w:tc>
          <w:tcPr>
            <w:tcW w:w="1042" w:type="pct"/>
          </w:tcPr>
          <w:p w:rsidR="0062731A" w:rsidRPr="009E2ADF" w:rsidRDefault="0062731A" w:rsidP="00AB4353">
            <w:pPr>
              <w:suppressAutoHyphens/>
              <w:jc w:val="both"/>
            </w:pPr>
            <w:r w:rsidRPr="009E2ADF">
              <w:rPr>
                <w:b/>
              </w:rPr>
              <w:t>Кавычки</w:t>
            </w:r>
          </w:p>
        </w:tc>
        <w:tc>
          <w:tcPr>
            <w:tcW w:w="3958" w:type="pct"/>
          </w:tcPr>
          <w:p w:rsidR="0062731A" w:rsidRDefault="00EB6183" w:rsidP="00AB4353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62731A" w:rsidRPr="009E2ADF">
              <w:rPr>
                <w:color w:val="000000"/>
              </w:rPr>
              <w:t xml:space="preserve">олжны иметь вид </w:t>
            </w:r>
            <w:r w:rsidR="0062731A" w:rsidRPr="00AB4353">
              <w:rPr>
                <w:color w:val="000000"/>
              </w:rPr>
              <w:t>«</w:t>
            </w:r>
            <w:r w:rsidR="0062731A" w:rsidRPr="009E2ADF">
              <w:rPr>
                <w:color w:val="000000"/>
              </w:rPr>
              <w:t>Текст</w:t>
            </w:r>
            <w:r w:rsidR="0062731A" w:rsidRPr="00AB4353">
              <w:t>»</w:t>
            </w:r>
            <w:r w:rsidR="0062731A" w:rsidRPr="00EB6183">
              <w:t xml:space="preserve"> (</w:t>
            </w:r>
            <w:r w:rsidR="00AB4353">
              <w:t>«ёлочки»</w:t>
            </w:r>
            <w:r w:rsidR="0062731A" w:rsidRPr="00EB6183">
              <w:t xml:space="preserve">). Использование кавычек вида </w:t>
            </w:r>
            <w:r w:rsidR="00AB4353" w:rsidRPr="00AB4353">
              <w:t>“</w:t>
            </w:r>
            <w:r w:rsidR="0062731A" w:rsidRPr="00EB6183">
              <w:t>Текст</w:t>
            </w:r>
            <w:r w:rsidR="00AB4353" w:rsidRPr="00AB4353">
              <w:t>”</w:t>
            </w:r>
            <w:r w:rsidR="0062731A" w:rsidRPr="00EB6183">
              <w:rPr>
                <w:b/>
              </w:rPr>
              <w:t xml:space="preserve"> </w:t>
            </w:r>
            <w:r w:rsidR="00AB4353" w:rsidRPr="00AB4353">
              <w:t>(«лапки»)</w:t>
            </w:r>
            <w:r w:rsidR="00AB4353">
              <w:rPr>
                <w:b/>
              </w:rPr>
              <w:t xml:space="preserve"> </w:t>
            </w:r>
            <w:r w:rsidR="0062731A" w:rsidRPr="00EB6183">
              <w:t xml:space="preserve">допускается лишь в случае двойного цитирования </w:t>
            </w:r>
            <w:r w:rsidR="0062731A" w:rsidRPr="00AB4353">
              <w:t xml:space="preserve">(«Текст: </w:t>
            </w:r>
            <w:r w:rsidR="00AB4353" w:rsidRPr="00AB4353">
              <w:t>“</w:t>
            </w:r>
            <w:r w:rsidR="0062731A" w:rsidRPr="00AB4353">
              <w:t>Текст</w:t>
            </w:r>
            <w:r w:rsidR="00AB4353">
              <w:t xml:space="preserve"> </w:t>
            </w:r>
            <w:r w:rsidR="0062731A" w:rsidRPr="00AB4353">
              <w:t>1</w:t>
            </w:r>
            <w:r w:rsidR="00AB4353" w:rsidRPr="00AB4353">
              <w:t>”</w:t>
            </w:r>
            <w:r w:rsidR="0062731A" w:rsidRPr="00AB4353">
              <w:t>»</w:t>
            </w:r>
            <w:r w:rsidR="00AB4353">
              <w:t>). Самостоятельное и</w:t>
            </w:r>
            <w:r w:rsidR="0062731A" w:rsidRPr="009E2ADF">
              <w:rPr>
                <w:color w:val="000000"/>
              </w:rPr>
              <w:t>спользование кавычек вида “Текст” не допускается.</w:t>
            </w:r>
          </w:p>
          <w:p w:rsidR="00AB4353" w:rsidRPr="009E2ADF" w:rsidRDefault="00AB4353" w:rsidP="00AB4353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Названия иностранных компаний, сайтов приводятся без кавычек</w:t>
            </w:r>
          </w:p>
        </w:tc>
      </w:tr>
      <w:tr w:rsidR="0062731A" w:rsidRPr="009E2ADF" w:rsidTr="00547ECF">
        <w:trPr>
          <w:jc w:val="center"/>
        </w:trPr>
        <w:tc>
          <w:tcPr>
            <w:tcW w:w="1042" w:type="pct"/>
          </w:tcPr>
          <w:p w:rsidR="0062731A" w:rsidRPr="009E2ADF" w:rsidRDefault="0062731A" w:rsidP="00AB4353">
            <w:pPr>
              <w:suppressAutoHyphens/>
              <w:rPr>
                <w:b/>
              </w:rPr>
            </w:pPr>
            <w:r w:rsidRPr="009E2ADF">
              <w:rPr>
                <w:b/>
                <w:color w:val="000000"/>
              </w:rPr>
              <w:t>Оформление ссылок</w:t>
            </w:r>
            <w:r w:rsidR="005C3567" w:rsidRPr="009E2ADF">
              <w:rPr>
                <w:b/>
                <w:color w:val="000000"/>
              </w:rPr>
              <w:t xml:space="preserve"> </w:t>
            </w:r>
            <w:r w:rsidRPr="009E2ADF">
              <w:rPr>
                <w:b/>
                <w:color w:val="000000"/>
              </w:rPr>
              <w:t>на использованные источники</w:t>
            </w:r>
          </w:p>
        </w:tc>
        <w:tc>
          <w:tcPr>
            <w:tcW w:w="3958" w:type="pct"/>
          </w:tcPr>
          <w:p w:rsidR="00AB4353" w:rsidRPr="00AB4353" w:rsidRDefault="009628CE" w:rsidP="00AB4353">
            <w:pPr>
              <w:numPr>
                <w:ilvl w:val="0"/>
                <w:numId w:val="19"/>
              </w:numPr>
              <w:ind w:left="227" w:hanging="227"/>
              <w:rPr>
                <w:szCs w:val="28"/>
              </w:rPr>
            </w:pPr>
            <w:r>
              <w:rPr>
                <w:szCs w:val="28"/>
              </w:rPr>
              <w:t>[Леонов, 2006, с. 75]</w:t>
            </w:r>
          </w:p>
          <w:p w:rsidR="00AB4353" w:rsidRPr="00AB4353" w:rsidRDefault="00AB4353" w:rsidP="00AB4353">
            <w:pPr>
              <w:numPr>
                <w:ilvl w:val="0"/>
                <w:numId w:val="19"/>
              </w:numPr>
              <w:ind w:left="227" w:hanging="227"/>
              <w:rPr>
                <w:szCs w:val="28"/>
              </w:rPr>
            </w:pPr>
            <w:r w:rsidRPr="00AB4353">
              <w:rPr>
                <w:szCs w:val="28"/>
              </w:rPr>
              <w:t xml:space="preserve">[Леонов В.Л., 2006, с. 89] </w:t>
            </w:r>
            <w:r>
              <w:rPr>
                <w:szCs w:val="28"/>
              </w:rPr>
              <w:t>—</w:t>
            </w:r>
            <w:r w:rsidRPr="00AB4353">
              <w:rPr>
                <w:szCs w:val="28"/>
              </w:rPr>
              <w:t xml:space="preserve"> если </w:t>
            </w:r>
            <w:r>
              <w:rPr>
                <w:szCs w:val="28"/>
              </w:rPr>
              <w:t>среди авто</w:t>
            </w:r>
            <w:r w:rsidR="009628CE">
              <w:rPr>
                <w:szCs w:val="28"/>
              </w:rPr>
              <w:t>ров есть однофамильцы</w:t>
            </w:r>
          </w:p>
          <w:p w:rsidR="00AB4353" w:rsidRPr="00AB4353" w:rsidRDefault="00AB4353" w:rsidP="00AB4353">
            <w:pPr>
              <w:numPr>
                <w:ilvl w:val="0"/>
                <w:numId w:val="19"/>
              </w:numPr>
              <w:ind w:left="227" w:hanging="227"/>
              <w:rPr>
                <w:szCs w:val="28"/>
              </w:rPr>
            </w:pPr>
            <w:r w:rsidRPr="00AB4353">
              <w:rPr>
                <w:szCs w:val="28"/>
              </w:rPr>
              <w:t xml:space="preserve">[Леонов, 2006б] </w:t>
            </w:r>
            <w:r w:rsidR="003C32A3">
              <w:rPr>
                <w:szCs w:val="28"/>
              </w:rPr>
              <w:t>—</w:t>
            </w:r>
            <w:r w:rsidRPr="00AB4353">
              <w:rPr>
                <w:szCs w:val="28"/>
              </w:rPr>
              <w:t xml:space="preserve"> если у одного автора </w:t>
            </w:r>
            <w:r w:rsidR="009628CE">
              <w:rPr>
                <w:szCs w:val="28"/>
              </w:rPr>
              <w:t>есть работы одного года выпуска</w:t>
            </w:r>
          </w:p>
          <w:p w:rsidR="00AB4353" w:rsidRPr="00AB4353" w:rsidRDefault="00AB4353" w:rsidP="00AB4353">
            <w:pPr>
              <w:numPr>
                <w:ilvl w:val="0"/>
                <w:numId w:val="19"/>
              </w:numPr>
              <w:ind w:left="227" w:hanging="227"/>
              <w:rPr>
                <w:szCs w:val="28"/>
              </w:rPr>
            </w:pPr>
            <w:r w:rsidRPr="00AB4353">
              <w:rPr>
                <w:szCs w:val="28"/>
              </w:rPr>
              <w:t xml:space="preserve">[Леонов, Дмитриева, 2006, с. 75–89] </w:t>
            </w:r>
            <w:r w:rsidR="003C32A3">
              <w:rPr>
                <w:szCs w:val="28"/>
              </w:rPr>
              <w:t>— если у работы два автора</w:t>
            </w:r>
          </w:p>
          <w:p w:rsidR="00AB4353" w:rsidRPr="00AB4353" w:rsidRDefault="00AB4353" w:rsidP="00AB4353">
            <w:pPr>
              <w:numPr>
                <w:ilvl w:val="0"/>
                <w:numId w:val="19"/>
              </w:numPr>
              <w:ind w:left="227" w:hanging="227"/>
              <w:rPr>
                <w:szCs w:val="28"/>
              </w:rPr>
            </w:pPr>
            <w:r w:rsidRPr="00AB4353">
              <w:rPr>
                <w:szCs w:val="28"/>
              </w:rPr>
              <w:t>[Леонов и др., 2006, с.</w:t>
            </w:r>
            <w:r w:rsidRPr="00AB4353">
              <w:rPr>
                <w:szCs w:val="28"/>
                <w:lang w:val="en-US"/>
              </w:rPr>
              <w:t> </w:t>
            </w:r>
            <w:r w:rsidRPr="00AB4353">
              <w:rPr>
                <w:szCs w:val="28"/>
              </w:rPr>
              <w:t>75–89], [</w:t>
            </w:r>
            <w:r w:rsidRPr="00AB4353">
              <w:rPr>
                <w:szCs w:val="28"/>
                <w:lang w:val="en-US"/>
              </w:rPr>
              <w:t>Williamson</w:t>
            </w:r>
            <w:r w:rsidRPr="00AB4353">
              <w:rPr>
                <w:szCs w:val="28"/>
              </w:rPr>
              <w:t xml:space="preserve"> </w:t>
            </w:r>
            <w:r w:rsidRPr="00AB4353">
              <w:rPr>
                <w:szCs w:val="28"/>
                <w:lang w:val="en-US"/>
              </w:rPr>
              <w:t>et</w:t>
            </w:r>
            <w:r w:rsidRPr="00AB4353">
              <w:rPr>
                <w:szCs w:val="28"/>
              </w:rPr>
              <w:t xml:space="preserve"> </w:t>
            </w:r>
            <w:r w:rsidRPr="00AB4353">
              <w:rPr>
                <w:szCs w:val="28"/>
                <w:lang w:val="en-US"/>
              </w:rPr>
              <w:t>al</w:t>
            </w:r>
            <w:r w:rsidRPr="00AB4353">
              <w:rPr>
                <w:szCs w:val="28"/>
              </w:rPr>
              <w:t xml:space="preserve">., 2006, </w:t>
            </w:r>
            <w:r w:rsidRPr="00AB4353">
              <w:rPr>
                <w:szCs w:val="28"/>
                <w:lang w:val="en-US"/>
              </w:rPr>
              <w:t>p</w:t>
            </w:r>
            <w:r w:rsidRPr="00AB4353">
              <w:rPr>
                <w:szCs w:val="28"/>
              </w:rPr>
              <w:t>.</w:t>
            </w:r>
            <w:r w:rsidRPr="00AB4353">
              <w:rPr>
                <w:szCs w:val="28"/>
                <w:lang w:val="en-US"/>
              </w:rPr>
              <w:t> </w:t>
            </w:r>
            <w:r w:rsidRPr="00AB4353">
              <w:rPr>
                <w:szCs w:val="28"/>
              </w:rPr>
              <w:t xml:space="preserve">75–89] </w:t>
            </w:r>
            <w:r w:rsidR="003C32A3">
              <w:rPr>
                <w:szCs w:val="28"/>
              </w:rPr>
              <w:t>—</w:t>
            </w:r>
            <w:r w:rsidRPr="00AB4353">
              <w:rPr>
                <w:szCs w:val="28"/>
              </w:rPr>
              <w:t xml:space="preserve"> </w:t>
            </w:r>
            <w:r w:rsidR="003C32A3">
              <w:rPr>
                <w:szCs w:val="28"/>
              </w:rPr>
              <w:t>е</w:t>
            </w:r>
            <w:r w:rsidR="009628CE">
              <w:rPr>
                <w:szCs w:val="28"/>
              </w:rPr>
              <w:t>сли у работы более двух авторов</w:t>
            </w:r>
          </w:p>
          <w:p w:rsidR="00AB4353" w:rsidRPr="00AB4353" w:rsidRDefault="00AB4353" w:rsidP="00AB4353">
            <w:pPr>
              <w:numPr>
                <w:ilvl w:val="0"/>
                <w:numId w:val="19"/>
              </w:numPr>
              <w:ind w:left="227" w:hanging="227"/>
              <w:rPr>
                <w:szCs w:val="28"/>
              </w:rPr>
            </w:pPr>
            <w:r w:rsidRPr="00AB4353">
              <w:rPr>
                <w:szCs w:val="28"/>
              </w:rPr>
              <w:t>ссылка на электронный ресурс</w:t>
            </w:r>
            <w:r w:rsidR="003C32A3">
              <w:rPr>
                <w:szCs w:val="28"/>
              </w:rPr>
              <w:t xml:space="preserve"> оформляется так же, как и на печатный (слова </w:t>
            </w:r>
            <w:r w:rsidR="003C32A3" w:rsidRPr="003C32A3">
              <w:rPr>
                <w:i/>
                <w:szCs w:val="28"/>
              </w:rPr>
              <w:t>электронный ресурс</w:t>
            </w:r>
            <w:r w:rsidR="003C32A3">
              <w:rPr>
                <w:szCs w:val="28"/>
              </w:rPr>
              <w:t xml:space="preserve"> НЕ добавляются);</w:t>
            </w:r>
          </w:p>
          <w:p w:rsidR="00AB4353" w:rsidRPr="00AB4353" w:rsidRDefault="00AB4353" w:rsidP="00AB4353">
            <w:pPr>
              <w:numPr>
                <w:ilvl w:val="0"/>
                <w:numId w:val="19"/>
              </w:numPr>
              <w:ind w:left="227" w:hanging="227"/>
              <w:rPr>
                <w:szCs w:val="28"/>
              </w:rPr>
            </w:pPr>
            <w:r w:rsidRPr="00AB4353">
              <w:rPr>
                <w:szCs w:val="28"/>
              </w:rPr>
              <w:t xml:space="preserve">[Система менеджмента качества, 2006] </w:t>
            </w:r>
            <w:r w:rsidR="003C32A3">
              <w:rPr>
                <w:szCs w:val="28"/>
              </w:rPr>
              <w:t>—</w:t>
            </w:r>
            <w:r w:rsidRPr="00AB4353">
              <w:rPr>
                <w:szCs w:val="28"/>
              </w:rPr>
              <w:t xml:space="preserve"> есл</w:t>
            </w:r>
            <w:r w:rsidR="003C32A3">
              <w:rPr>
                <w:szCs w:val="28"/>
              </w:rPr>
              <w:t>и работа без обозначе</w:t>
            </w:r>
            <w:r w:rsidR="009628CE">
              <w:rPr>
                <w:szCs w:val="28"/>
              </w:rPr>
              <w:t>ния автора</w:t>
            </w:r>
          </w:p>
          <w:p w:rsidR="00AB4353" w:rsidRPr="00AB4353" w:rsidRDefault="00AB4353" w:rsidP="00AB4353">
            <w:pPr>
              <w:numPr>
                <w:ilvl w:val="0"/>
                <w:numId w:val="19"/>
              </w:numPr>
              <w:ind w:left="227" w:hanging="227"/>
              <w:rPr>
                <w:szCs w:val="28"/>
              </w:rPr>
            </w:pPr>
            <w:r w:rsidRPr="00AB4353">
              <w:rPr>
                <w:szCs w:val="28"/>
              </w:rPr>
              <w:t xml:space="preserve">[Система менеджмента…, 2006] </w:t>
            </w:r>
            <w:r w:rsidR="003C32A3">
              <w:rPr>
                <w:szCs w:val="28"/>
              </w:rPr>
              <w:t>—</w:t>
            </w:r>
            <w:r w:rsidRPr="00AB4353">
              <w:rPr>
                <w:szCs w:val="28"/>
              </w:rPr>
              <w:t xml:space="preserve"> если название длинное, то необходимо привести сокращенный вариант, позволяющий найти </w:t>
            </w:r>
            <w:r w:rsidRPr="00AB4353">
              <w:rPr>
                <w:szCs w:val="28"/>
              </w:rPr>
              <w:lastRenderedPageBreak/>
              <w:t>источник в библиографическом списке</w:t>
            </w:r>
          </w:p>
          <w:p w:rsidR="00AB4353" w:rsidRPr="00AB4353" w:rsidRDefault="00AB4353" w:rsidP="00AB4353">
            <w:pPr>
              <w:numPr>
                <w:ilvl w:val="0"/>
                <w:numId w:val="19"/>
              </w:numPr>
              <w:ind w:left="227" w:hanging="227"/>
              <w:rPr>
                <w:szCs w:val="28"/>
              </w:rPr>
            </w:pPr>
            <w:r w:rsidRPr="00AB4353">
              <w:rPr>
                <w:szCs w:val="28"/>
              </w:rPr>
              <w:t xml:space="preserve">[Леонов, Дмитриева, 2006, с. 75–89; Петров, 1998, с. 10] </w:t>
            </w:r>
            <w:r w:rsidR="003C32A3">
              <w:rPr>
                <w:szCs w:val="28"/>
              </w:rPr>
              <w:t>—</w:t>
            </w:r>
            <w:r w:rsidRPr="00AB4353">
              <w:rPr>
                <w:szCs w:val="28"/>
              </w:rPr>
              <w:t xml:space="preserve"> если </w:t>
            </w:r>
            <w:r w:rsidR="003C32A3">
              <w:rPr>
                <w:szCs w:val="28"/>
              </w:rPr>
              <w:t>необходимо</w:t>
            </w:r>
            <w:r w:rsidRPr="00AB4353">
              <w:rPr>
                <w:szCs w:val="28"/>
              </w:rPr>
              <w:t xml:space="preserve"> </w:t>
            </w:r>
            <w:r w:rsidR="003C32A3">
              <w:rPr>
                <w:szCs w:val="28"/>
              </w:rPr>
              <w:t>привести</w:t>
            </w:r>
            <w:r w:rsidR="009628CE">
              <w:rPr>
                <w:szCs w:val="28"/>
              </w:rPr>
              <w:t xml:space="preserve"> ссылки на несколько источников</w:t>
            </w:r>
          </w:p>
          <w:p w:rsidR="00AB4353" w:rsidRPr="00AB4353" w:rsidRDefault="00AB4353" w:rsidP="00AB4353">
            <w:pPr>
              <w:numPr>
                <w:ilvl w:val="0"/>
                <w:numId w:val="19"/>
              </w:numPr>
              <w:ind w:left="227" w:hanging="227"/>
              <w:rPr>
                <w:szCs w:val="28"/>
              </w:rPr>
            </w:pPr>
            <w:r w:rsidRPr="00AB4353">
              <w:rPr>
                <w:szCs w:val="28"/>
              </w:rPr>
              <w:t>[Там же]</w:t>
            </w:r>
            <w:r w:rsidR="003C32A3">
              <w:rPr>
                <w:szCs w:val="28"/>
              </w:rPr>
              <w:t xml:space="preserve">, </w:t>
            </w:r>
            <w:r w:rsidR="003C32A3" w:rsidRPr="003C32A3">
              <w:rPr>
                <w:szCs w:val="28"/>
              </w:rPr>
              <w:t>[</w:t>
            </w:r>
            <w:r w:rsidR="003C32A3">
              <w:rPr>
                <w:szCs w:val="28"/>
                <w:lang w:val="en-US"/>
              </w:rPr>
              <w:t>Ibid</w:t>
            </w:r>
            <w:r w:rsidR="003C32A3" w:rsidRPr="003C32A3">
              <w:rPr>
                <w:szCs w:val="28"/>
              </w:rPr>
              <w:t>.]</w:t>
            </w:r>
            <w:r w:rsidRPr="00AB4353">
              <w:rPr>
                <w:szCs w:val="28"/>
              </w:rPr>
              <w:t xml:space="preserve"> – при последовательном расположении </w:t>
            </w:r>
            <w:r w:rsidR="003C32A3">
              <w:rPr>
                <w:szCs w:val="28"/>
              </w:rPr>
              <w:t>с</w:t>
            </w:r>
            <w:r w:rsidRPr="00AB4353">
              <w:rPr>
                <w:szCs w:val="28"/>
              </w:rPr>
              <w:t xml:space="preserve">сылок </w:t>
            </w:r>
            <w:r w:rsidR="003C32A3">
              <w:rPr>
                <w:szCs w:val="28"/>
              </w:rPr>
              <w:t>на</w:t>
            </w:r>
            <w:r w:rsidRPr="00AB4353">
              <w:rPr>
                <w:szCs w:val="28"/>
              </w:rPr>
              <w:t xml:space="preserve"> одн</w:t>
            </w:r>
            <w:r w:rsidR="003C32A3">
              <w:rPr>
                <w:szCs w:val="28"/>
              </w:rPr>
              <w:t>у</w:t>
            </w:r>
            <w:r w:rsidRPr="00AB4353">
              <w:rPr>
                <w:szCs w:val="28"/>
              </w:rPr>
              <w:t xml:space="preserve"> и т</w:t>
            </w:r>
            <w:r w:rsidR="003C32A3">
              <w:rPr>
                <w:szCs w:val="28"/>
              </w:rPr>
              <w:t>у</w:t>
            </w:r>
            <w:r w:rsidRPr="00AB4353">
              <w:rPr>
                <w:szCs w:val="28"/>
              </w:rPr>
              <w:t xml:space="preserve"> же </w:t>
            </w:r>
            <w:r w:rsidR="003C32A3">
              <w:rPr>
                <w:szCs w:val="28"/>
              </w:rPr>
              <w:t xml:space="preserve">работу </w:t>
            </w:r>
            <w:r w:rsidR="003C32A3" w:rsidRPr="003C32A3">
              <w:rPr>
                <w:szCs w:val="28"/>
              </w:rPr>
              <w:t xml:space="preserve">— </w:t>
            </w:r>
            <w:r w:rsidR="003C32A3">
              <w:rPr>
                <w:szCs w:val="28"/>
              </w:rPr>
              <w:t>русскую, иностранную соответственно</w:t>
            </w:r>
          </w:p>
          <w:p w:rsidR="0062731A" w:rsidRPr="003C32A3" w:rsidRDefault="003C32A3" w:rsidP="00C878EC">
            <w:pPr>
              <w:numPr>
                <w:ilvl w:val="0"/>
                <w:numId w:val="19"/>
              </w:numPr>
              <w:ind w:left="227" w:hanging="227"/>
            </w:pPr>
            <w:r w:rsidRPr="00C878EC">
              <w:t>[</w:t>
            </w:r>
            <w:r>
              <w:t>Федеральный закон № 239</w:t>
            </w:r>
            <w:r w:rsidRPr="00C878EC">
              <w:t>]</w:t>
            </w:r>
            <w:r w:rsidR="00C878EC">
              <w:t xml:space="preserve"> — при ссылке на нормативно-правовой акт</w:t>
            </w:r>
          </w:p>
        </w:tc>
      </w:tr>
      <w:tr w:rsidR="004D0F67" w:rsidRPr="00367B4F" w:rsidTr="00547ECF">
        <w:trPr>
          <w:jc w:val="center"/>
        </w:trPr>
        <w:tc>
          <w:tcPr>
            <w:tcW w:w="1042" w:type="pct"/>
          </w:tcPr>
          <w:p w:rsidR="004D0F67" w:rsidRPr="009E2ADF" w:rsidRDefault="004D0F67" w:rsidP="004D0F67">
            <w:pPr>
              <w:suppressAutoHyphens/>
              <w:rPr>
                <w:b/>
                <w:color w:val="000000"/>
              </w:rPr>
            </w:pPr>
            <w:r w:rsidRPr="009E2ADF">
              <w:rPr>
                <w:b/>
                <w:color w:val="000000"/>
              </w:rPr>
              <w:lastRenderedPageBreak/>
              <w:t xml:space="preserve">Оформление </w:t>
            </w:r>
            <w:r>
              <w:rPr>
                <w:b/>
                <w:color w:val="000000"/>
              </w:rPr>
              <w:t>Списка источников</w:t>
            </w:r>
          </w:p>
        </w:tc>
        <w:tc>
          <w:tcPr>
            <w:tcW w:w="3958" w:type="pct"/>
          </w:tcPr>
          <w:p w:rsidR="004D0F67" w:rsidRDefault="004D0F67" w:rsidP="00AB4353">
            <w:pPr>
              <w:numPr>
                <w:ilvl w:val="0"/>
                <w:numId w:val="19"/>
              </w:numPr>
              <w:ind w:left="227" w:hanging="227"/>
              <w:rPr>
                <w:szCs w:val="28"/>
              </w:rPr>
            </w:pPr>
            <w:r>
              <w:rPr>
                <w:szCs w:val="28"/>
              </w:rPr>
              <w:t>название: Список источников</w:t>
            </w:r>
          </w:p>
          <w:p w:rsidR="004D0F67" w:rsidRDefault="004D0F67" w:rsidP="00AB4353">
            <w:pPr>
              <w:numPr>
                <w:ilvl w:val="0"/>
                <w:numId w:val="19"/>
              </w:numPr>
              <w:ind w:left="227" w:hanging="227"/>
              <w:rPr>
                <w:szCs w:val="28"/>
              </w:rPr>
            </w:pPr>
            <w:r>
              <w:rPr>
                <w:szCs w:val="28"/>
              </w:rPr>
              <w:t>включаются только те источники, ссылки на которые есть в тексте; реком</w:t>
            </w:r>
            <w:r w:rsidR="009628CE">
              <w:rPr>
                <w:szCs w:val="28"/>
              </w:rPr>
              <w:t>ендуется не более 10 источников</w:t>
            </w:r>
          </w:p>
          <w:p w:rsidR="004D0F67" w:rsidRDefault="004D0F67" w:rsidP="004D0F67">
            <w:pPr>
              <w:numPr>
                <w:ilvl w:val="0"/>
                <w:numId w:val="19"/>
              </w:numPr>
              <w:ind w:left="227" w:hanging="227"/>
              <w:rPr>
                <w:szCs w:val="28"/>
              </w:rPr>
            </w:pPr>
            <w:r w:rsidRPr="004D0F67">
              <w:rPr>
                <w:szCs w:val="28"/>
              </w:rPr>
              <w:t>формат</w:t>
            </w:r>
            <w:r>
              <w:rPr>
                <w:szCs w:val="28"/>
              </w:rPr>
              <w:t xml:space="preserve">: </w:t>
            </w:r>
            <w:r w:rsidRPr="004D0F67">
              <w:rPr>
                <w:szCs w:val="28"/>
              </w:rPr>
              <w:t xml:space="preserve">кегль </w:t>
            </w:r>
            <w:r>
              <w:rPr>
                <w:szCs w:val="28"/>
              </w:rPr>
              <w:t>—</w:t>
            </w:r>
            <w:r w:rsidRPr="004D0F67">
              <w:rPr>
                <w:szCs w:val="28"/>
              </w:rPr>
              <w:t xml:space="preserve"> 12, интервал </w:t>
            </w:r>
            <w:r>
              <w:rPr>
                <w:szCs w:val="28"/>
              </w:rPr>
              <w:t>—</w:t>
            </w:r>
            <w:r w:rsidRPr="004D0F67">
              <w:rPr>
                <w:szCs w:val="28"/>
              </w:rPr>
              <w:t xml:space="preserve"> </w:t>
            </w:r>
            <w:r>
              <w:rPr>
                <w:szCs w:val="28"/>
              </w:rPr>
              <w:t>полуторный</w:t>
            </w:r>
            <w:r w:rsidRPr="004D0F67">
              <w:rPr>
                <w:szCs w:val="28"/>
              </w:rPr>
              <w:t xml:space="preserve">, выравнивание </w:t>
            </w:r>
            <w:r>
              <w:rPr>
                <w:szCs w:val="28"/>
              </w:rPr>
              <w:t>—</w:t>
            </w:r>
            <w:r w:rsidRPr="004D0F67">
              <w:rPr>
                <w:szCs w:val="28"/>
              </w:rPr>
              <w:t xml:space="preserve"> по ширине, </w:t>
            </w:r>
            <w:r>
              <w:rPr>
                <w:szCs w:val="28"/>
              </w:rPr>
              <w:t>от</w:t>
            </w:r>
            <w:r w:rsidRPr="004D0F67">
              <w:rPr>
                <w:szCs w:val="28"/>
              </w:rPr>
              <w:t xml:space="preserve">ступ </w:t>
            </w:r>
            <w:r>
              <w:rPr>
                <w:szCs w:val="28"/>
              </w:rPr>
              <w:t>—</w:t>
            </w:r>
            <w:r w:rsidRPr="004D0F6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автоматический, </w:t>
            </w:r>
            <w:r w:rsidRPr="004D0F67">
              <w:rPr>
                <w:szCs w:val="28"/>
              </w:rPr>
              <w:t>1,25</w:t>
            </w:r>
            <w:r>
              <w:rPr>
                <w:szCs w:val="28"/>
              </w:rPr>
              <w:t>/1,27</w:t>
            </w:r>
            <w:r w:rsidRPr="004D0F67">
              <w:rPr>
                <w:szCs w:val="28"/>
              </w:rPr>
              <w:t xml:space="preserve"> см, по алфавиту (сначала на русском, потом </w:t>
            </w:r>
            <w:r>
              <w:rPr>
                <w:szCs w:val="28"/>
              </w:rPr>
              <w:t>—</w:t>
            </w:r>
            <w:r w:rsidRPr="004D0F67">
              <w:rPr>
                <w:szCs w:val="28"/>
              </w:rPr>
              <w:t xml:space="preserve"> на иностранных языках)</w:t>
            </w:r>
            <w:r w:rsidR="009628CE">
              <w:rPr>
                <w:szCs w:val="28"/>
              </w:rPr>
              <w:t>; нумерация не нужна</w:t>
            </w:r>
          </w:p>
          <w:p w:rsidR="004D0F67" w:rsidRDefault="009628CE" w:rsidP="004D0F67">
            <w:pPr>
              <w:numPr>
                <w:ilvl w:val="0"/>
                <w:numId w:val="19"/>
              </w:numPr>
              <w:ind w:left="227" w:hanging="227"/>
              <w:rPr>
                <w:szCs w:val="28"/>
              </w:rPr>
            </w:pPr>
            <w:r>
              <w:rPr>
                <w:szCs w:val="28"/>
              </w:rPr>
              <w:t>автор набирается курсивом</w:t>
            </w:r>
          </w:p>
          <w:p w:rsidR="00C92517" w:rsidRPr="00C92517" w:rsidRDefault="00C92517" w:rsidP="004D0F67">
            <w:pPr>
              <w:numPr>
                <w:ilvl w:val="0"/>
                <w:numId w:val="19"/>
              </w:numPr>
              <w:ind w:left="227" w:hanging="227"/>
              <w:rPr>
                <w:szCs w:val="28"/>
              </w:rPr>
            </w:pPr>
            <w:r>
              <w:rPr>
                <w:szCs w:val="28"/>
              </w:rPr>
              <w:t>если приводится ссылка на работу из журнала, сборника</w:t>
            </w:r>
            <w:r w:rsidR="009628CE">
              <w:rPr>
                <w:szCs w:val="28"/>
              </w:rPr>
              <w:t>, то номера страниц ОБЯЗАТЕЛЬНЫ</w:t>
            </w:r>
          </w:p>
          <w:p w:rsidR="00C92517" w:rsidRPr="00C92517" w:rsidRDefault="00C92517" w:rsidP="004D0F67">
            <w:pPr>
              <w:numPr>
                <w:ilvl w:val="0"/>
                <w:numId w:val="19"/>
              </w:numPr>
              <w:ind w:left="227" w:hanging="227"/>
              <w:rPr>
                <w:szCs w:val="28"/>
              </w:rPr>
            </w:pPr>
            <w:r>
              <w:rPr>
                <w:szCs w:val="28"/>
              </w:rPr>
              <w:t xml:space="preserve">обозначение номера в иностранных источниках: </w:t>
            </w:r>
            <w:r>
              <w:rPr>
                <w:lang w:val="en-US"/>
              </w:rPr>
              <w:t>No</w:t>
            </w:r>
            <w:r w:rsidRPr="00C92517">
              <w:t>.</w:t>
            </w:r>
            <w:r w:rsidR="009628CE">
              <w:t xml:space="preserve"> 1</w:t>
            </w:r>
          </w:p>
          <w:p w:rsidR="00C92517" w:rsidRPr="00C92517" w:rsidRDefault="00C92517" w:rsidP="004D0F67">
            <w:pPr>
              <w:numPr>
                <w:ilvl w:val="0"/>
                <w:numId w:val="19"/>
              </w:numPr>
              <w:ind w:left="227" w:hanging="227"/>
              <w:rPr>
                <w:szCs w:val="28"/>
              </w:rPr>
            </w:pPr>
            <w:r>
              <w:t xml:space="preserve">при наличии у работы трех и более авторов приводится первый автор со словами </w:t>
            </w:r>
            <w:r w:rsidRPr="00C92517">
              <w:rPr>
                <w:i/>
              </w:rPr>
              <w:t>и др.</w:t>
            </w:r>
            <w:r>
              <w:rPr>
                <w:i/>
              </w:rPr>
              <w:t xml:space="preserve"> </w:t>
            </w:r>
            <w:r>
              <w:t xml:space="preserve">(рус.), </w:t>
            </w:r>
            <w:r w:rsidRPr="00C92517">
              <w:rPr>
                <w:i/>
                <w:lang w:val="en-US"/>
              </w:rPr>
              <w:t>et</w:t>
            </w:r>
            <w:r w:rsidRPr="00C92517">
              <w:rPr>
                <w:i/>
              </w:rPr>
              <w:t xml:space="preserve"> </w:t>
            </w:r>
            <w:r w:rsidRPr="00C92517">
              <w:rPr>
                <w:i/>
                <w:lang w:val="en-US"/>
              </w:rPr>
              <w:t>al</w:t>
            </w:r>
            <w:r w:rsidRPr="00C92517">
              <w:rPr>
                <w:i/>
              </w:rPr>
              <w:t>.</w:t>
            </w:r>
            <w:r>
              <w:t xml:space="preserve"> (англ.)</w:t>
            </w:r>
            <w:r w:rsidRPr="00C92517">
              <w:t xml:space="preserve">, </w:t>
            </w:r>
            <w:r w:rsidRPr="00C92517">
              <w:rPr>
                <w:i/>
                <w:lang w:val="en-US"/>
              </w:rPr>
              <w:t>u</w:t>
            </w:r>
            <w:r w:rsidRPr="00C92517">
              <w:rPr>
                <w:i/>
              </w:rPr>
              <w:t>.</w:t>
            </w:r>
            <w:r w:rsidRPr="00C92517">
              <w:rPr>
                <w:i/>
                <w:lang w:val="en-US"/>
              </w:rPr>
              <w:t>a</w:t>
            </w:r>
            <w:r w:rsidRPr="00C92517">
              <w:rPr>
                <w:i/>
              </w:rPr>
              <w:t>.</w:t>
            </w:r>
            <w:r>
              <w:t xml:space="preserve"> (нем.). При этом в описании имена всех авторов</w:t>
            </w:r>
            <w:r w:rsidR="009628CE">
              <w:t xml:space="preserve"> тоже не приводятся</w:t>
            </w:r>
          </w:p>
          <w:p w:rsidR="00C92517" w:rsidRDefault="00C92517" w:rsidP="004D0F67">
            <w:pPr>
              <w:numPr>
                <w:ilvl w:val="0"/>
                <w:numId w:val="19"/>
              </w:numPr>
              <w:ind w:left="227" w:hanging="227"/>
              <w:rPr>
                <w:szCs w:val="28"/>
              </w:rPr>
            </w:pPr>
            <w:r>
              <w:t xml:space="preserve">при ссылке на электронные источники нельзя приводить только электронный адрес, у любой страницы есть название; перед адресом приводим слова </w:t>
            </w:r>
            <w:r>
              <w:rPr>
                <w:lang w:val="en-US"/>
              </w:rPr>
              <w:t>URL</w:t>
            </w:r>
            <w:r>
              <w:t>; в скобках указывается дата обращения; если ссылка заканчивается непосредственно адресом, то то</w:t>
            </w:r>
            <w:r w:rsidR="009628CE">
              <w:t>чка в конце не ставится</w:t>
            </w:r>
          </w:p>
          <w:p w:rsidR="004D0F67" w:rsidRDefault="004D0F67" w:rsidP="004D0F67">
            <w:pPr>
              <w:numPr>
                <w:ilvl w:val="0"/>
                <w:numId w:val="19"/>
              </w:numPr>
              <w:ind w:left="227" w:hanging="227"/>
              <w:rPr>
                <w:szCs w:val="28"/>
              </w:rPr>
            </w:pPr>
            <w:r>
              <w:rPr>
                <w:szCs w:val="28"/>
              </w:rPr>
              <w:t>пример оформления</w:t>
            </w:r>
            <w:r w:rsidR="00367B4F">
              <w:rPr>
                <w:szCs w:val="28"/>
              </w:rPr>
              <w:t xml:space="preserve"> источников в Списке в зависимости от типа работы приведен ниже</w:t>
            </w:r>
            <w:r>
              <w:rPr>
                <w:szCs w:val="28"/>
              </w:rPr>
              <w:t>:</w:t>
            </w:r>
          </w:p>
          <w:p w:rsidR="004D0F67" w:rsidRPr="00512495" w:rsidRDefault="004D0F67" w:rsidP="004D0F67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F67">
              <w:rPr>
                <w:rFonts w:ascii="Times New Roman" w:hAnsi="Times New Roman"/>
                <w:i/>
                <w:iCs/>
                <w:sz w:val="24"/>
                <w:szCs w:val="24"/>
              </w:rPr>
              <w:t>Анохин В.С.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12495">
              <w:rPr>
                <w:rFonts w:ascii="Times New Roman" w:hAnsi="Times New Roman"/>
                <w:iCs/>
                <w:sz w:val="24"/>
                <w:szCs w:val="24"/>
              </w:rPr>
              <w:t>Споры о возмещении убытков // Арбитражная практика. 2004. №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512495">
              <w:rPr>
                <w:rFonts w:ascii="Times New Roman" w:hAnsi="Times New Roman"/>
                <w:iCs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С. 3–</w:t>
            </w:r>
            <w:r w:rsidRPr="00512495">
              <w:rPr>
                <w:rFonts w:ascii="Times New Roman" w:hAnsi="Times New Roman"/>
                <w:iCs/>
                <w:sz w:val="24"/>
                <w:szCs w:val="24"/>
              </w:rPr>
              <w:t>11.</w:t>
            </w:r>
          </w:p>
          <w:p w:rsidR="004D0F67" w:rsidRPr="00512495" w:rsidRDefault="004D0F67" w:rsidP="004D0F67">
            <w:pPr>
              <w:ind w:firstLine="709"/>
              <w:jc w:val="both"/>
            </w:pPr>
            <w:r w:rsidRPr="00C92517">
              <w:rPr>
                <w:i/>
              </w:rPr>
              <w:t>Брагинский М.И., Витрянский В.В.</w:t>
            </w:r>
            <w:r w:rsidRPr="00512495">
              <w:t xml:space="preserve"> Договорное право. Кн. </w:t>
            </w:r>
            <w:r w:rsidR="009628CE">
              <w:t>п</w:t>
            </w:r>
            <w:r w:rsidRPr="00512495">
              <w:t>ервая: Общие положения. М.: «Статут», 2001. 848 с.</w:t>
            </w:r>
          </w:p>
          <w:p w:rsidR="004D0F67" w:rsidRPr="00512495" w:rsidRDefault="004D0F67" w:rsidP="004D0F67">
            <w:pPr>
              <w:ind w:firstLine="709"/>
              <w:jc w:val="both"/>
            </w:pPr>
            <w:r w:rsidRPr="00C92517">
              <w:rPr>
                <w:i/>
              </w:rPr>
              <w:t>Васильев Е.А.</w:t>
            </w:r>
            <w:r w:rsidRPr="00512495">
              <w:t xml:space="preserve"> Валютно-финансовый кризис и международное право. М.: Междунар. отношения, 1982. 176 с.</w:t>
            </w:r>
          </w:p>
          <w:p w:rsidR="004D0F67" w:rsidRPr="00512495" w:rsidRDefault="004D0F67" w:rsidP="004D0F67">
            <w:pPr>
              <w:ind w:firstLine="709"/>
              <w:jc w:val="both"/>
            </w:pPr>
            <w:r w:rsidRPr="00512495">
              <w:t>Гражданское и торговое</w:t>
            </w:r>
            <w:r>
              <w:t xml:space="preserve"> право зарубежных государств: учеб</w:t>
            </w:r>
            <w:r w:rsidR="00C92517">
              <w:t>.</w:t>
            </w:r>
            <w:r>
              <w:t xml:space="preserve"> </w:t>
            </w:r>
            <w:r w:rsidR="00C92517">
              <w:t>В</w:t>
            </w:r>
            <w:r>
              <w:t xml:space="preserve"> 2</w:t>
            </w:r>
            <w:r w:rsidR="009628CE">
              <w:t> </w:t>
            </w:r>
            <w:r>
              <w:t>т. / отв. ред. Е.А. </w:t>
            </w:r>
            <w:r w:rsidRPr="00512495">
              <w:t>Васильев, А.С.</w:t>
            </w:r>
            <w:r>
              <w:t> </w:t>
            </w:r>
            <w:r w:rsidRPr="00512495">
              <w:t>Комаров. М.: Международные отношения, 2004. Т. 1.</w:t>
            </w:r>
            <w:r>
              <w:t xml:space="preserve"> </w:t>
            </w:r>
            <w:r w:rsidRPr="00512495">
              <w:t>556</w:t>
            </w:r>
            <w:r>
              <w:t xml:space="preserve"> </w:t>
            </w:r>
            <w:r w:rsidRPr="00512495">
              <w:t>с.</w:t>
            </w:r>
          </w:p>
          <w:p w:rsidR="00367B4F" w:rsidRPr="00367B4F" w:rsidRDefault="00367B4F" w:rsidP="00367B4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MinionPro-It"/>
              </w:rPr>
            </w:pPr>
            <w:r w:rsidRPr="00367B4F">
              <w:rPr>
                <w:rFonts w:eastAsia="MinionPro-It"/>
                <w:i/>
                <w:iCs/>
              </w:rPr>
              <w:t xml:space="preserve">Дамодаран А. </w:t>
            </w:r>
            <w:r w:rsidRPr="00367B4F">
              <w:rPr>
                <w:rFonts w:eastAsia="MinionPro-It"/>
              </w:rPr>
              <w:t>Инвестиционная оценка. Инструменты и техника оценки любых активов / пер. с англ. М., 2004. 1342 с.</w:t>
            </w:r>
          </w:p>
          <w:p w:rsidR="004D0F67" w:rsidRDefault="004D0F67" w:rsidP="004D0F67">
            <w:pPr>
              <w:ind w:firstLine="709"/>
              <w:jc w:val="both"/>
            </w:pPr>
            <w:r w:rsidRPr="00512495">
              <w:t>Единообразный торговый кодекс США</w:t>
            </w:r>
            <w:r>
              <w:t xml:space="preserve"> / п</w:t>
            </w:r>
            <w:r w:rsidRPr="00512495">
              <w:t>ер. с англ. // Современное зарубежное и международное частное право. М.: Международный центр финансово-экономического развития. 1996. 427</w:t>
            </w:r>
            <w:r w:rsidR="009628CE">
              <w:t> </w:t>
            </w:r>
            <w:r w:rsidRPr="00512495">
              <w:t>с.</w:t>
            </w:r>
          </w:p>
          <w:p w:rsidR="00367B4F" w:rsidRPr="00512495" w:rsidRDefault="00367B4F" w:rsidP="004D0F67">
            <w:pPr>
              <w:ind w:firstLine="709"/>
              <w:jc w:val="both"/>
            </w:pPr>
            <w:r w:rsidRPr="00367B4F">
              <w:t>Закон Пермского края от 11 июня 2008 г. № 238-ПК «Об инновационной деятельности в Пермском крае»</w:t>
            </w:r>
            <w:r>
              <w:t>.</w:t>
            </w:r>
          </w:p>
          <w:p w:rsidR="00367B4F" w:rsidRPr="00367B4F" w:rsidRDefault="00367B4F" w:rsidP="00367B4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MinionPro-It"/>
              </w:rPr>
            </w:pPr>
            <w:r w:rsidRPr="00367B4F">
              <w:rPr>
                <w:rFonts w:eastAsia="MinionPro-It"/>
                <w:i/>
                <w:iCs/>
              </w:rPr>
              <w:t xml:space="preserve">Карминский А.М. и др. </w:t>
            </w:r>
            <w:r w:rsidRPr="00367B4F">
              <w:rPr>
                <w:rFonts w:eastAsia="MinionPro-It"/>
              </w:rPr>
              <w:t>Моделирование вероятности дефолта российских банков с использованием эконометрических методов. М., 2012.</w:t>
            </w:r>
          </w:p>
          <w:p w:rsidR="00367B4F" w:rsidRPr="00367B4F" w:rsidRDefault="00367B4F" w:rsidP="00367B4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MinionPro-It"/>
              </w:rPr>
            </w:pPr>
            <w:r w:rsidRPr="00367B4F">
              <w:rPr>
                <w:rFonts w:eastAsia="MinionPro-It"/>
                <w:i/>
                <w:iCs/>
              </w:rPr>
              <w:t xml:space="preserve">Нилов И.С. </w:t>
            </w:r>
            <w:r w:rsidRPr="00367B4F">
              <w:rPr>
                <w:rFonts w:eastAsia="MinionPro-It"/>
              </w:rPr>
              <w:t xml:space="preserve">Шумовая торговля. Современные эмпирические исследования // Журнал «Рынок ценных бумаг». 2006 [Электронный ресурс]. </w:t>
            </w:r>
            <w:r w:rsidRPr="00367B4F">
              <w:rPr>
                <w:rFonts w:eastAsia="MinionPro-It"/>
                <w:lang w:val="en-US"/>
              </w:rPr>
              <w:t>URL</w:t>
            </w:r>
            <w:r w:rsidRPr="00367B4F">
              <w:rPr>
                <w:rFonts w:eastAsia="MinionPro-It"/>
              </w:rPr>
              <w:t xml:space="preserve">: </w:t>
            </w:r>
            <w:r w:rsidRPr="00367B4F">
              <w:rPr>
                <w:rFonts w:eastAsia="MinionPro-It"/>
                <w:lang w:val="en-US"/>
              </w:rPr>
              <w:t>http</w:t>
            </w:r>
            <w:r w:rsidRPr="00367B4F">
              <w:rPr>
                <w:rFonts w:eastAsia="MinionPro-It"/>
              </w:rPr>
              <w:t>://</w:t>
            </w:r>
            <w:r w:rsidRPr="00367B4F">
              <w:rPr>
                <w:rFonts w:eastAsia="MinionPro-It"/>
                <w:lang w:val="en-US"/>
              </w:rPr>
              <w:t>www</w:t>
            </w:r>
            <w:r w:rsidRPr="00367B4F">
              <w:rPr>
                <w:rFonts w:eastAsia="MinionPro-It"/>
              </w:rPr>
              <w:t>.</w:t>
            </w:r>
            <w:r w:rsidRPr="00367B4F">
              <w:rPr>
                <w:rFonts w:eastAsia="MinionPro-It"/>
                <w:lang w:val="en-US"/>
              </w:rPr>
              <w:t>rcb</w:t>
            </w:r>
            <w:r w:rsidRPr="00367B4F">
              <w:rPr>
                <w:rFonts w:eastAsia="MinionPro-It"/>
              </w:rPr>
              <w:t>.</w:t>
            </w:r>
            <w:r w:rsidRPr="00367B4F">
              <w:rPr>
                <w:rFonts w:eastAsia="MinionPro-It"/>
                <w:lang w:val="en-US"/>
              </w:rPr>
              <w:t>ru</w:t>
            </w:r>
            <w:r w:rsidRPr="00367B4F">
              <w:rPr>
                <w:rFonts w:eastAsia="MinionPro-It"/>
              </w:rPr>
              <w:t>/</w:t>
            </w:r>
            <w:r w:rsidRPr="00367B4F">
              <w:rPr>
                <w:rFonts w:eastAsia="MinionPro-It"/>
                <w:lang w:val="en-US"/>
              </w:rPr>
              <w:t>rcb</w:t>
            </w:r>
            <w:r w:rsidRPr="00367B4F">
              <w:rPr>
                <w:rFonts w:eastAsia="MinionPro-It"/>
              </w:rPr>
              <w:t>/2006-24/8077/</w:t>
            </w:r>
          </w:p>
          <w:p w:rsidR="00367B4F" w:rsidRPr="00367B4F" w:rsidRDefault="00367B4F" w:rsidP="00367B4F">
            <w:pPr>
              <w:autoSpaceDE w:val="0"/>
              <w:autoSpaceDN w:val="0"/>
              <w:adjustRightInd w:val="0"/>
              <w:ind w:firstLine="709"/>
              <w:jc w:val="both"/>
              <w:rPr>
                <w:lang w:val="en-US"/>
              </w:rPr>
            </w:pPr>
            <w:r w:rsidRPr="00367B4F">
              <w:lastRenderedPageBreak/>
              <w:t xml:space="preserve">Федеральная служба государственной статистики [Электронный ресурс]. </w:t>
            </w:r>
            <w:r w:rsidRPr="00367B4F">
              <w:rPr>
                <w:lang w:val="en-US"/>
              </w:rPr>
              <w:t>URL: http://www.gks.ru</w:t>
            </w:r>
          </w:p>
          <w:p w:rsidR="00367B4F" w:rsidRPr="00367B4F" w:rsidRDefault="00367B4F" w:rsidP="00367B4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MinionPro-It"/>
                <w:lang w:val="en-US"/>
              </w:rPr>
            </w:pPr>
            <w:r w:rsidRPr="00367B4F">
              <w:rPr>
                <w:rFonts w:eastAsia="MinionPro-It"/>
                <w:i/>
                <w:iCs/>
                <w:lang w:val="en-US"/>
              </w:rPr>
              <w:t xml:space="preserve">Altman E. et al. </w:t>
            </w:r>
            <w:r w:rsidRPr="00367B4F">
              <w:rPr>
                <w:rFonts w:eastAsia="MinionPro-It"/>
                <w:lang w:val="en-US"/>
              </w:rPr>
              <w:t>Zeta Analysis: A New Model to Identify Bankruptcy Risk of Corporations // Journal of Banking &amp; Finance. 1977. Vol</w:t>
            </w:r>
            <w:r w:rsidRPr="00D47210">
              <w:rPr>
                <w:rFonts w:eastAsia="MinionPro-It"/>
                <w:lang w:val="en-US"/>
              </w:rPr>
              <w:t xml:space="preserve">. 1. </w:t>
            </w:r>
            <w:r>
              <w:rPr>
                <w:rFonts w:eastAsia="MinionPro-It"/>
                <w:lang w:val="en-US"/>
              </w:rPr>
              <w:t>P</w:t>
            </w:r>
            <w:r w:rsidRPr="00367B4F">
              <w:rPr>
                <w:rFonts w:eastAsia="MinionPro-It"/>
                <w:lang w:val="en-US"/>
              </w:rPr>
              <w:t>. 56–183.</w:t>
            </w:r>
          </w:p>
          <w:p w:rsidR="00367B4F" w:rsidRPr="00367B4F" w:rsidRDefault="00367B4F" w:rsidP="00367B4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MinionPro-It"/>
                <w:lang w:val="en-US"/>
              </w:rPr>
            </w:pPr>
            <w:r w:rsidRPr="00367B4F">
              <w:rPr>
                <w:rFonts w:eastAsia="MinionPro-It"/>
                <w:i/>
                <w:iCs/>
                <w:lang w:val="en-US"/>
              </w:rPr>
              <w:t xml:space="preserve">Kaplan R.S. </w:t>
            </w:r>
            <w:r w:rsidRPr="00367B4F">
              <w:rPr>
                <w:rFonts w:eastAsia="MinionPro-It"/>
                <w:lang w:val="en-US"/>
              </w:rPr>
              <w:t>Strategic performance measurement and management in nonprofit organizations // Journal of Nonprofit Management and Leadership. 2001. No. 11(3). P. 353–370.</w:t>
            </w:r>
          </w:p>
          <w:p w:rsidR="00367B4F" w:rsidRPr="00367B4F" w:rsidRDefault="00367B4F" w:rsidP="00367B4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MinionPro-It"/>
                <w:lang w:val="en-US"/>
              </w:rPr>
            </w:pPr>
            <w:r w:rsidRPr="00367B4F">
              <w:rPr>
                <w:rFonts w:eastAsia="MinionPro-It"/>
                <w:i/>
                <w:iCs/>
                <w:lang w:val="en-US"/>
              </w:rPr>
              <w:t xml:space="preserve">Modigliani F., Miller M. </w:t>
            </w:r>
            <w:r w:rsidRPr="00367B4F">
              <w:rPr>
                <w:rFonts w:eastAsia="MinionPro-It"/>
                <w:lang w:val="en-US"/>
              </w:rPr>
              <w:t>The Cost of Capital, Corporation Finance and the Theory of Investment // The American Economic Rewiew. 1958. Vol. XLVIII. No. 3 [Online]. URL: https://www2.bc.edu/thomas-chemmanur/phdfincorp/MF891%20</w:t>
            </w:r>
            <w:r>
              <w:rPr>
                <w:rFonts w:eastAsia="MinionPro-It"/>
                <w:lang w:val="en-US"/>
              </w:rPr>
              <w:t>papers/MM1958.pdf</w:t>
            </w:r>
          </w:p>
          <w:p w:rsidR="004D0F67" w:rsidRPr="00D47210" w:rsidRDefault="004D0F67" w:rsidP="00367B4F">
            <w:pPr>
              <w:ind w:firstLine="709"/>
              <w:jc w:val="both"/>
              <w:rPr>
                <w:lang w:val="en-US"/>
              </w:rPr>
            </w:pPr>
            <w:r w:rsidRPr="00367B4F">
              <w:rPr>
                <w:i/>
                <w:lang w:val="en-US"/>
              </w:rPr>
              <w:t>Posner R., Rozenfield A</w:t>
            </w:r>
            <w:bookmarkStart w:id="2" w:name="_GoBack"/>
            <w:r w:rsidRPr="00367B4F">
              <w:rPr>
                <w:i/>
                <w:lang w:val="en-US"/>
              </w:rPr>
              <w:t>.</w:t>
            </w:r>
            <w:r w:rsidRPr="00367B4F">
              <w:rPr>
                <w:lang w:val="en-US"/>
              </w:rPr>
              <w:t xml:space="preserve"> </w:t>
            </w:r>
            <w:bookmarkEnd w:id="2"/>
            <w:r w:rsidRPr="00367B4F">
              <w:rPr>
                <w:lang w:val="en-US"/>
              </w:rPr>
              <w:t xml:space="preserve">Impossibility and Related Doctrines in Contract Law: an Economic Analysis // Journal of legal studies. </w:t>
            </w:r>
            <w:r w:rsidRPr="00D47210">
              <w:rPr>
                <w:lang w:val="en-US"/>
              </w:rPr>
              <w:t xml:space="preserve">1977. </w:t>
            </w:r>
            <w:r w:rsidRPr="00367B4F">
              <w:rPr>
                <w:caps/>
                <w:lang w:val="en-US"/>
              </w:rPr>
              <w:t>v</w:t>
            </w:r>
            <w:r w:rsidRPr="00367B4F">
              <w:rPr>
                <w:lang w:val="en-US"/>
              </w:rPr>
              <w:t>ol</w:t>
            </w:r>
            <w:r w:rsidRPr="00D47210">
              <w:rPr>
                <w:lang w:val="en-US"/>
              </w:rPr>
              <w:t>. 6</w:t>
            </w:r>
            <w:r w:rsidR="00C92517" w:rsidRPr="00D47210">
              <w:rPr>
                <w:lang w:val="en-US"/>
              </w:rPr>
              <w:t>.</w:t>
            </w:r>
            <w:r w:rsidRPr="00D47210">
              <w:rPr>
                <w:lang w:val="en-US"/>
              </w:rPr>
              <w:t xml:space="preserve"> </w:t>
            </w:r>
            <w:r w:rsidR="00C92517" w:rsidRPr="00367B4F">
              <w:rPr>
                <w:lang w:val="en-US"/>
              </w:rPr>
              <w:t>No</w:t>
            </w:r>
            <w:r w:rsidR="00C92517" w:rsidRPr="00D47210">
              <w:rPr>
                <w:lang w:val="en-US"/>
              </w:rPr>
              <w:t>.</w:t>
            </w:r>
            <w:r w:rsidRPr="00D47210">
              <w:rPr>
                <w:lang w:val="en-US"/>
              </w:rPr>
              <w:t xml:space="preserve"> 1. </w:t>
            </w:r>
            <w:r w:rsidRPr="00367B4F">
              <w:rPr>
                <w:caps/>
                <w:lang w:val="en-US"/>
              </w:rPr>
              <w:t>p</w:t>
            </w:r>
            <w:r w:rsidRPr="00D47210">
              <w:rPr>
                <w:lang w:val="en-US"/>
              </w:rPr>
              <w:t>.</w:t>
            </w:r>
            <w:r w:rsidRPr="00367B4F">
              <w:rPr>
                <w:lang w:val="en-US"/>
              </w:rPr>
              <w:t> </w:t>
            </w:r>
            <w:r w:rsidRPr="00D47210">
              <w:rPr>
                <w:lang w:val="en-US"/>
              </w:rPr>
              <w:t>83–118.</w:t>
            </w:r>
          </w:p>
          <w:p w:rsidR="00C77711" w:rsidRPr="00367B4F" w:rsidRDefault="00C77711" w:rsidP="00367B4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MinionPro-It"/>
              </w:rPr>
            </w:pPr>
            <w:r w:rsidRPr="00367B4F">
              <w:rPr>
                <w:rFonts w:eastAsia="MinionPro-It"/>
                <w:i/>
                <w:iCs/>
                <w:lang w:val="en-US"/>
              </w:rPr>
              <w:t xml:space="preserve">Shefrin J., Statman M. </w:t>
            </w:r>
            <w:r w:rsidRPr="00367B4F">
              <w:rPr>
                <w:rFonts w:eastAsia="MinionPro-It"/>
                <w:lang w:val="en-US"/>
              </w:rPr>
              <w:t>Explaining Investor Preference for Cash Dividends //</w:t>
            </w:r>
            <w:r w:rsidR="00367B4F" w:rsidRPr="00367B4F">
              <w:rPr>
                <w:rFonts w:eastAsia="MinionPro-It"/>
                <w:lang w:val="en-US"/>
              </w:rPr>
              <w:t xml:space="preserve"> </w:t>
            </w:r>
            <w:r w:rsidRPr="00367B4F">
              <w:rPr>
                <w:rFonts w:eastAsia="MinionPro-It"/>
                <w:lang w:val="en-US"/>
              </w:rPr>
              <w:t xml:space="preserve">Journal of Financial Economics. 1984. No. 13(1). P. 253–282 [Online]. URL: </w:t>
            </w:r>
            <w:r w:rsidR="00367B4F" w:rsidRPr="00367B4F">
              <w:rPr>
                <w:rFonts w:eastAsia="MinionPro-It"/>
                <w:lang w:val="en-US"/>
              </w:rPr>
              <w:t>http://andreisimonov.com/NES/BF/ (</w:t>
            </w:r>
            <w:r w:rsidR="00367B4F">
              <w:rPr>
                <w:rFonts w:eastAsia="MinionPro-It"/>
              </w:rPr>
              <w:t>дата</w:t>
            </w:r>
            <w:r w:rsidR="00367B4F" w:rsidRPr="00367B4F">
              <w:rPr>
                <w:rFonts w:eastAsia="MinionPro-It"/>
                <w:lang w:val="en-US"/>
              </w:rPr>
              <w:t xml:space="preserve"> </w:t>
            </w:r>
            <w:r w:rsidR="00367B4F">
              <w:rPr>
                <w:rFonts w:eastAsia="MinionPro-It"/>
              </w:rPr>
              <w:t>обращения</w:t>
            </w:r>
            <w:r w:rsidR="00367B4F" w:rsidRPr="00367B4F">
              <w:rPr>
                <w:rFonts w:eastAsia="MinionPro-It"/>
                <w:lang w:val="en-US"/>
              </w:rPr>
              <w:t>: 12.03.2013).</w:t>
            </w:r>
          </w:p>
        </w:tc>
      </w:tr>
      <w:tr w:rsidR="00AB4353" w:rsidRPr="009E2ADF" w:rsidTr="00547ECF">
        <w:trPr>
          <w:jc w:val="center"/>
        </w:trPr>
        <w:tc>
          <w:tcPr>
            <w:tcW w:w="1042" w:type="pct"/>
          </w:tcPr>
          <w:p w:rsidR="00AB4353" w:rsidRPr="009E2ADF" w:rsidRDefault="00AB4353" w:rsidP="00AB4353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Приложения</w:t>
            </w:r>
          </w:p>
        </w:tc>
        <w:tc>
          <w:tcPr>
            <w:tcW w:w="3958" w:type="pct"/>
          </w:tcPr>
          <w:p w:rsidR="00AB4353" w:rsidRPr="00AB4353" w:rsidRDefault="00AB4353" w:rsidP="00EB6183">
            <w:pPr>
              <w:suppressAutoHyphens/>
              <w:jc w:val="both"/>
            </w:pPr>
            <w:r>
              <w:t>Н</w:t>
            </w:r>
            <w:r w:rsidRPr="00AB4353">
              <w:t>е допускаются</w:t>
            </w:r>
          </w:p>
        </w:tc>
      </w:tr>
    </w:tbl>
    <w:p w:rsidR="00547ECF" w:rsidRPr="00547ECF" w:rsidRDefault="00547ECF" w:rsidP="009628CE">
      <w:pPr>
        <w:spacing w:before="240"/>
        <w:ind w:firstLine="709"/>
        <w:jc w:val="both"/>
        <w:rPr>
          <w:szCs w:val="28"/>
        </w:rPr>
      </w:pPr>
      <w:r w:rsidRPr="00547ECF">
        <w:rPr>
          <w:szCs w:val="28"/>
        </w:rPr>
        <w:t>Если в требованиях не учтены какие-либо специфические черты Вашей работы, если Вам что-либо непонятно, если Вы нашли несоответствия в данных требованиях, Вы всегда можете обратиться в редакционно-издательский отдел НИУ ВШЭ – Пермь (к начальнику или редактору отдела). Мы будем рады помочь Вам!</w:t>
      </w:r>
    </w:p>
    <w:p w:rsidR="0019342E" w:rsidRPr="00547ECF" w:rsidRDefault="00542182" w:rsidP="00547ECF">
      <w:pPr>
        <w:spacing w:before="240" w:after="240"/>
        <w:jc w:val="center"/>
        <w:rPr>
          <w:b/>
          <w:sz w:val="28"/>
          <w:szCs w:val="28"/>
        </w:rPr>
      </w:pPr>
      <w:r w:rsidRPr="00981F75">
        <w:rPr>
          <w:b/>
          <w:sz w:val="28"/>
          <w:szCs w:val="28"/>
        </w:rPr>
        <w:t>Будьте внимательны! При несоответствии указанным</w:t>
      </w:r>
      <w:r w:rsidRPr="00981F75">
        <w:rPr>
          <w:b/>
          <w:sz w:val="28"/>
          <w:szCs w:val="28"/>
        </w:rPr>
        <w:br/>
        <w:t xml:space="preserve">требованиям материалы будут сдаваться </w:t>
      </w:r>
      <w:r w:rsidRPr="00981F75">
        <w:rPr>
          <w:b/>
          <w:caps/>
          <w:sz w:val="28"/>
          <w:szCs w:val="28"/>
        </w:rPr>
        <w:t>на доработку</w:t>
      </w:r>
    </w:p>
    <w:sectPr w:rsidR="0019342E" w:rsidRPr="00547ECF" w:rsidSect="00367B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4CF" w:rsidRDefault="003B34CF" w:rsidP="005C3B67">
      <w:r>
        <w:separator/>
      </w:r>
    </w:p>
  </w:endnote>
  <w:endnote w:type="continuationSeparator" w:id="0">
    <w:p w:rsidR="003B34CF" w:rsidRDefault="003B34CF" w:rsidP="005C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Pro-I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4CF" w:rsidRDefault="003B34CF" w:rsidP="005C3B67">
      <w:r>
        <w:separator/>
      </w:r>
    </w:p>
  </w:footnote>
  <w:footnote w:type="continuationSeparator" w:id="0">
    <w:p w:rsidR="003B34CF" w:rsidRDefault="003B34CF" w:rsidP="005C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77098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C56213"/>
    <w:multiLevelType w:val="hybridMultilevel"/>
    <w:tmpl w:val="5BE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C27FC"/>
    <w:multiLevelType w:val="hybridMultilevel"/>
    <w:tmpl w:val="5228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F7220"/>
    <w:multiLevelType w:val="hybridMultilevel"/>
    <w:tmpl w:val="327038A2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>
    <w:nsid w:val="271D3411"/>
    <w:multiLevelType w:val="hybridMultilevel"/>
    <w:tmpl w:val="7DDE336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C7114AC"/>
    <w:multiLevelType w:val="hybridMultilevel"/>
    <w:tmpl w:val="89F89724"/>
    <w:lvl w:ilvl="0" w:tplc="00000002"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165553"/>
    <w:multiLevelType w:val="hybridMultilevel"/>
    <w:tmpl w:val="5440894E"/>
    <w:lvl w:ilvl="0" w:tplc="00000002"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F25F7"/>
    <w:multiLevelType w:val="hybridMultilevel"/>
    <w:tmpl w:val="6EDA3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926C5"/>
    <w:multiLevelType w:val="hybridMultilevel"/>
    <w:tmpl w:val="05222554"/>
    <w:lvl w:ilvl="0" w:tplc="0419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9">
    <w:nsid w:val="44901832"/>
    <w:multiLevelType w:val="hybridMultilevel"/>
    <w:tmpl w:val="C040D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CC7A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12560"/>
    <w:multiLevelType w:val="hybridMultilevel"/>
    <w:tmpl w:val="1B3C1EEA"/>
    <w:lvl w:ilvl="0" w:tplc="00000002"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A055F"/>
    <w:multiLevelType w:val="hybridMultilevel"/>
    <w:tmpl w:val="70EC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D5AB5"/>
    <w:multiLevelType w:val="hybridMultilevel"/>
    <w:tmpl w:val="18AA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A1EC6"/>
    <w:multiLevelType w:val="hybridMultilevel"/>
    <w:tmpl w:val="8E1C371E"/>
    <w:lvl w:ilvl="0" w:tplc="00000002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3633F"/>
    <w:multiLevelType w:val="hybridMultilevel"/>
    <w:tmpl w:val="E8023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E72232"/>
    <w:multiLevelType w:val="hybridMultilevel"/>
    <w:tmpl w:val="3EA48B46"/>
    <w:lvl w:ilvl="0" w:tplc="00000002"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255864"/>
    <w:multiLevelType w:val="hybridMultilevel"/>
    <w:tmpl w:val="90208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E2EBC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9E4C5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5E33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0625FD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0452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56A5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E8A2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7B2A5C60"/>
    <w:multiLevelType w:val="hybridMultilevel"/>
    <w:tmpl w:val="121649E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6"/>
  </w:num>
  <w:num w:numId="5">
    <w:abstractNumId w:val="15"/>
  </w:num>
  <w:num w:numId="6">
    <w:abstractNumId w:val="11"/>
  </w:num>
  <w:num w:numId="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4"/>
  </w:num>
  <w:num w:numId="10">
    <w:abstractNumId w:val="4"/>
  </w:num>
  <w:num w:numId="11">
    <w:abstractNumId w:val="16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2"/>
  </w:num>
  <w:num w:numId="17">
    <w:abstractNumId w:val="9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E5"/>
    <w:rsid w:val="000063CA"/>
    <w:rsid w:val="00030308"/>
    <w:rsid w:val="00030946"/>
    <w:rsid w:val="0004212A"/>
    <w:rsid w:val="000427DD"/>
    <w:rsid w:val="00055F63"/>
    <w:rsid w:val="00062362"/>
    <w:rsid w:val="0006757C"/>
    <w:rsid w:val="00070E3E"/>
    <w:rsid w:val="0007261C"/>
    <w:rsid w:val="00072A82"/>
    <w:rsid w:val="00083C4E"/>
    <w:rsid w:val="000849BE"/>
    <w:rsid w:val="000954E3"/>
    <w:rsid w:val="000977EC"/>
    <w:rsid w:val="000B0774"/>
    <w:rsid w:val="000B07B3"/>
    <w:rsid w:val="000B2E53"/>
    <w:rsid w:val="000B5421"/>
    <w:rsid w:val="000C1B21"/>
    <w:rsid w:val="000D55A8"/>
    <w:rsid w:val="000E6BB9"/>
    <w:rsid w:val="000E7A67"/>
    <w:rsid w:val="001129FC"/>
    <w:rsid w:val="0012109F"/>
    <w:rsid w:val="00126A4C"/>
    <w:rsid w:val="001336B6"/>
    <w:rsid w:val="001376AF"/>
    <w:rsid w:val="00152DB2"/>
    <w:rsid w:val="00154122"/>
    <w:rsid w:val="0016231D"/>
    <w:rsid w:val="00175FD3"/>
    <w:rsid w:val="001803ED"/>
    <w:rsid w:val="00182E23"/>
    <w:rsid w:val="00183BB3"/>
    <w:rsid w:val="00187A84"/>
    <w:rsid w:val="0019342E"/>
    <w:rsid w:val="001A7692"/>
    <w:rsid w:val="001B0EE7"/>
    <w:rsid w:val="001B19CE"/>
    <w:rsid w:val="001D4178"/>
    <w:rsid w:val="001E421C"/>
    <w:rsid w:val="001E6D3B"/>
    <w:rsid w:val="001F5AA1"/>
    <w:rsid w:val="002006CC"/>
    <w:rsid w:val="00201582"/>
    <w:rsid w:val="002029B9"/>
    <w:rsid w:val="00202CB6"/>
    <w:rsid w:val="00203229"/>
    <w:rsid w:val="0020351F"/>
    <w:rsid w:val="00204D9C"/>
    <w:rsid w:val="0021142F"/>
    <w:rsid w:val="00211853"/>
    <w:rsid w:val="00226657"/>
    <w:rsid w:val="002356B4"/>
    <w:rsid w:val="0023794D"/>
    <w:rsid w:val="00242224"/>
    <w:rsid w:val="00255EC1"/>
    <w:rsid w:val="002647C9"/>
    <w:rsid w:val="0027716C"/>
    <w:rsid w:val="00281B26"/>
    <w:rsid w:val="002859B4"/>
    <w:rsid w:val="0029245D"/>
    <w:rsid w:val="00295D9E"/>
    <w:rsid w:val="002A5177"/>
    <w:rsid w:val="002B34FE"/>
    <w:rsid w:val="002C5443"/>
    <w:rsid w:val="002C6050"/>
    <w:rsid w:val="002C66F9"/>
    <w:rsid w:val="002D3C1D"/>
    <w:rsid w:val="002D4316"/>
    <w:rsid w:val="002D593F"/>
    <w:rsid w:val="002E0EBA"/>
    <w:rsid w:val="002E1294"/>
    <w:rsid w:val="002E31A8"/>
    <w:rsid w:val="00300CAC"/>
    <w:rsid w:val="0030175F"/>
    <w:rsid w:val="00303D70"/>
    <w:rsid w:val="003066AD"/>
    <w:rsid w:val="00306C59"/>
    <w:rsid w:val="00320E24"/>
    <w:rsid w:val="003469B5"/>
    <w:rsid w:val="00347BCB"/>
    <w:rsid w:val="00352A53"/>
    <w:rsid w:val="00355CBA"/>
    <w:rsid w:val="0036773D"/>
    <w:rsid w:val="00367B4F"/>
    <w:rsid w:val="003701A8"/>
    <w:rsid w:val="00372800"/>
    <w:rsid w:val="00374047"/>
    <w:rsid w:val="003764E2"/>
    <w:rsid w:val="00383FBE"/>
    <w:rsid w:val="003870A4"/>
    <w:rsid w:val="00396E7A"/>
    <w:rsid w:val="003A2F7C"/>
    <w:rsid w:val="003B12EB"/>
    <w:rsid w:val="003B34CF"/>
    <w:rsid w:val="003C32A3"/>
    <w:rsid w:val="003D09C1"/>
    <w:rsid w:val="003D7D00"/>
    <w:rsid w:val="003E2085"/>
    <w:rsid w:val="00413738"/>
    <w:rsid w:val="00421EF4"/>
    <w:rsid w:val="00422A57"/>
    <w:rsid w:val="004336EF"/>
    <w:rsid w:val="00436158"/>
    <w:rsid w:val="00437E2A"/>
    <w:rsid w:val="00486A0D"/>
    <w:rsid w:val="00495A90"/>
    <w:rsid w:val="004A2113"/>
    <w:rsid w:val="004A5013"/>
    <w:rsid w:val="004A6A89"/>
    <w:rsid w:val="004A7A09"/>
    <w:rsid w:val="004A7E12"/>
    <w:rsid w:val="004B1F62"/>
    <w:rsid w:val="004D0F67"/>
    <w:rsid w:val="004D7B80"/>
    <w:rsid w:val="004E2E61"/>
    <w:rsid w:val="004E6807"/>
    <w:rsid w:val="004F1E2F"/>
    <w:rsid w:val="004F2A49"/>
    <w:rsid w:val="004F49DD"/>
    <w:rsid w:val="004F6FBA"/>
    <w:rsid w:val="004F7120"/>
    <w:rsid w:val="00500E54"/>
    <w:rsid w:val="00501A1F"/>
    <w:rsid w:val="0051157A"/>
    <w:rsid w:val="005172D5"/>
    <w:rsid w:val="0052071D"/>
    <w:rsid w:val="00524622"/>
    <w:rsid w:val="00530A8B"/>
    <w:rsid w:val="005317B1"/>
    <w:rsid w:val="00533DB0"/>
    <w:rsid w:val="00541106"/>
    <w:rsid w:val="0054159C"/>
    <w:rsid w:val="00542182"/>
    <w:rsid w:val="00547ECF"/>
    <w:rsid w:val="00551988"/>
    <w:rsid w:val="00561558"/>
    <w:rsid w:val="00563861"/>
    <w:rsid w:val="00572BBB"/>
    <w:rsid w:val="00581337"/>
    <w:rsid w:val="005A2FC4"/>
    <w:rsid w:val="005A4537"/>
    <w:rsid w:val="005B0049"/>
    <w:rsid w:val="005B2506"/>
    <w:rsid w:val="005B5D36"/>
    <w:rsid w:val="005C3567"/>
    <w:rsid w:val="005C3B67"/>
    <w:rsid w:val="005C5122"/>
    <w:rsid w:val="005C5B1F"/>
    <w:rsid w:val="005E520D"/>
    <w:rsid w:val="005F0BDE"/>
    <w:rsid w:val="00623FAC"/>
    <w:rsid w:val="00624CE3"/>
    <w:rsid w:val="006270D0"/>
    <w:rsid w:val="0062731A"/>
    <w:rsid w:val="00627BFB"/>
    <w:rsid w:val="00632BBC"/>
    <w:rsid w:val="00632F07"/>
    <w:rsid w:val="0064168D"/>
    <w:rsid w:val="006616BA"/>
    <w:rsid w:val="00664451"/>
    <w:rsid w:val="00672C8B"/>
    <w:rsid w:val="00696A76"/>
    <w:rsid w:val="006A1017"/>
    <w:rsid w:val="006C3F25"/>
    <w:rsid w:val="006E5F98"/>
    <w:rsid w:val="006F1182"/>
    <w:rsid w:val="006F22A8"/>
    <w:rsid w:val="007062AA"/>
    <w:rsid w:val="00711360"/>
    <w:rsid w:val="00722943"/>
    <w:rsid w:val="00725B34"/>
    <w:rsid w:val="00742172"/>
    <w:rsid w:val="00752FE2"/>
    <w:rsid w:val="00761587"/>
    <w:rsid w:val="007A54B3"/>
    <w:rsid w:val="007B03E5"/>
    <w:rsid w:val="007C1620"/>
    <w:rsid w:val="007F16F3"/>
    <w:rsid w:val="00803034"/>
    <w:rsid w:val="0082140D"/>
    <w:rsid w:val="008234AC"/>
    <w:rsid w:val="008352AC"/>
    <w:rsid w:val="00843E96"/>
    <w:rsid w:val="008464D8"/>
    <w:rsid w:val="008501C3"/>
    <w:rsid w:val="00854217"/>
    <w:rsid w:val="008624C4"/>
    <w:rsid w:val="008703B0"/>
    <w:rsid w:val="008931DE"/>
    <w:rsid w:val="008960EF"/>
    <w:rsid w:val="008B11A7"/>
    <w:rsid w:val="008B5AE4"/>
    <w:rsid w:val="008B66A7"/>
    <w:rsid w:val="008C28CD"/>
    <w:rsid w:val="008C6446"/>
    <w:rsid w:val="008D16FE"/>
    <w:rsid w:val="008F3A3D"/>
    <w:rsid w:val="008F6EB3"/>
    <w:rsid w:val="0091343E"/>
    <w:rsid w:val="00914628"/>
    <w:rsid w:val="009226C8"/>
    <w:rsid w:val="0093307F"/>
    <w:rsid w:val="00934A21"/>
    <w:rsid w:val="00936591"/>
    <w:rsid w:val="00941909"/>
    <w:rsid w:val="00943E96"/>
    <w:rsid w:val="00943FE5"/>
    <w:rsid w:val="00946FEE"/>
    <w:rsid w:val="009628CE"/>
    <w:rsid w:val="0097791B"/>
    <w:rsid w:val="009A07DB"/>
    <w:rsid w:val="009A47B2"/>
    <w:rsid w:val="009A5AED"/>
    <w:rsid w:val="009B6C20"/>
    <w:rsid w:val="009C056F"/>
    <w:rsid w:val="009D6769"/>
    <w:rsid w:val="009E2ADF"/>
    <w:rsid w:val="009E5C3D"/>
    <w:rsid w:val="00A0559E"/>
    <w:rsid w:val="00A10801"/>
    <w:rsid w:val="00A1095D"/>
    <w:rsid w:val="00A16F38"/>
    <w:rsid w:val="00A32EEA"/>
    <w:rsid w:val="00A33B28"/>
    <w:rsid w:val="00A3421A"/>
    <w:rsid w:val="00A35DCC"/>
    <w:rsid w:val="00A35DFF"/>
    <w:rsid w:val="00A3726D"/>
    <w:rsid w:val="00A63CEF"/>
    <w:rsid w:val="00AA6727"/>
    <w:rsid w:val="00AA724E"/>
    <w:rsid w:val="00AA7E28"/>
    <w:rsid w:val="00AB4325"/>
    <w:rsid w:val="00AB4353"/>
    <w:rsid w:val="00AC1BDF"/>
    <w:rsid w:val="00AD6F58"/>
    <w:rsid w:val="00AE2EFA"/>
    <w:rsid w:val="00AE7317"/>
    <w:rsid w:val="00AF0491"/>
    <w:rsid w:val="00AF54B6"/>
    <w:rsid w:val="00AF77CB"/>
    <w:rsid w:val="00B03451"/>
    <w:rsid w:val="00B0514E"/>
    <w:rsid w:val="00B1144C"/>
    <w:rsid w:val="00B16B2B"/>
    <w:rsid w:val="00B2284A"/>
    <w:rsid w:val="00B30769"/>
    <w:rsid w:val="00B32D04"/>
    <w:rsid w:val="00B33D4B"/>
    <w:rsid w:val="00B34590"/>
    <w:rsid w:val="00B43107"/>
    <w:rsid w:val="00B5184D"/>
    <w:rsid w:val="00B56AC5"/>
    <w:rsid w:val="00B57A7E"/>
    <w:rsid w:val="00B6530B"/>
    <w:rsid w:val="00B93922"/>
    <w:rsid w:val="00BA6BE4"/>
    <w:rsid w:val="00BB2A09"/>
    <w:rsid w:val="00BB40D4"/>
    <w:rsid w:val="00BB638C"/>
    <w:rsid w:val="00BD6741"/>
    <w:rsid w:val="00BF3A69"/>
    <w:rsid w:val="00BF49C9"/>
    <w:rsid w:val="00C14BD5"/>
    <w:rsid w:val="00C21C53"/>
    <w:rsid w:val="00C24454"/>
    <w:rsid w:val="00C55C43"/>
    <w:rsid w:val="00C612AA"/>
    <w:rsid w:val="00C633AD"/>
    <w:rsid w:val="00C72574"/>
    <w:rsid w:val="00C74C5E"/>
    <w:rsid w:val="00C77711"/>
    <w:rsid w:val="00C8412F"/>
    <w:rsid w:val="00C878EC"/>
    <w:rsid w:val="00C92517"/>
    <w:rsid w:val="00CA55D1"/>
    <w:rsid w:val="00CB7CCF"/>
    <w:rsid w:val="00CC36BE"/>
    <w:rsid w:val="00CD113C"/>
    <w:rsid w:val="00CD6F90"/>
    <w:rsid w:val="00CE1F07"/>
    <w:rsid w:val="00CE74F8"/>
    <w:rsid w:val="00CE7EF5"/>
    <w:rsid w:val="00CF0B00"/>
    <w:rsid w:val="00CF74A5"/>
    <w:rsid w:val="00D00947"/>
    <w:rsid w:val="00D05966"/>
    <w:rsid w:val="00D066EF"/>
    <w:rsid w:val="00D17F24"/>
    <w:rsid w:val="00D23B92"/>
    <w:rsid w:val="00D24937"/>
    <w:rsid w:val="00D345D0"/>
    <w:rsid w:val="00D354E5"/>
    <w:rsid w:val="00D409D6"/>
    <w:rsid w:val="00D47210"/>
    <w:rsid w:val="00D510C9"/>
    <w:rsid w:val="00D63B85"/>
    <w:rsid w:val="00D70DC8"/>
    <w:rsid w:val="00D76339"/>
    <w:rsid w:val="00D8012A"/>
    <w:rsid w:val="00D8518F"/>
    <w:rsid w:val="00D85474"/>
    <w:rsid w:val="00D86D42"/>
    <w:rsid w:val="00D932CE"/>
    <w:rsid w:val="00DA54F8"/>
    <w:rsid w:val="00DA5A43"/>
    <w:rsid w:val="00DA6828"/>
    <w:rsid w:val="00DC1150"/>
    <w:rsid w:val="00DC5BBD"/>
    <w:rsid w:val="00DC73EA"/>
    <w:rsid w:val="00DF5AF2"/>
    <w:rsid w:val="00E06B59"/>
    <w:rsid w:val="00E11C88"/>
    <w:rsid w:val="00E2183A"/>
    <w:rsid w:val="00E22134"/>
    <w:rsid w:val="00E419AB"/>
    <w:rsid w:val="00E4441D"/>
    <w:rsid w:val="00E44A0F"/>
    <w:rsid w:val="00E51839"/>
    <w:rsid w:val="00E53DE9"/>
    <w:rsid w:val="00E5466A"/>
    <w:rsid w:val="00E621BF"/>
    <w:rsid w:val="00E64661"/>
    <w:rsid w:val="00E66924"/>
    <w:rsid w:val="00E84B32"/>
    <w:rsid w:val="00EA119F"/>
    <w:rsid w:val="00EB23C2"/>
    <w:rsid w:val="00EB5183"/>
    <w:rsid w:val="00EB6183"/>
    <w:rsid w:val="00EC0D88"/>
    <w:rsid w:val="00EC37DA"/>
    <w:rsid w:val="00EC7F64"/>
    <w:rsid w:val="00EC7F8B"/>
    <w:rsid w:val="00ED5A60"/>
    <w:rsid w:val="00EE1642"/>
    <w:rsid w:val="00EF727D"/>
    <w:rsid w:val="00F00EAE"/>
    <w:rsid w:val="00F07777"/>
    <w:rsid w:val="00F11B8F"/>
    <w:rsid w:val="00F20654"/>
    <w:rsid w:val="00F20CF0"/>
    <w:rsid w:val="00F35D38"/>
    <w:rsid w:val="00F40CB0"/>
    <w:rsid w:val="00F504D8"/>
    <w:rsid w:val="00F53007"/>
    <w:rsid w:val="00F5550F"/>
    <w:rsid w:val="00F617CE"/>
    <w:rsid w:val="00F737AF"/>
    <w:rsid w:val="00F76613"/>
    <w:rsid w:val="00F814A8"/>
    <w:rsid w:val="00F84ACC"/>
    <w:rsid w:val="00F96021"/>
    <w:rsid w:val="00FB2CC8"/>
    <w:rsid w:val="00FB7FEF"/>
    <w:rsid w:val="00FD360B"/>
    <w:rsid w:val="00FD4CEF"/>
    <w:rsid w:val="00FD60AF"/>
    <w:rsid w:val="00FD6FE9"/>
    <w:rsid w:val="00FF28C2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5EB49E-D67D-4D7A-8C0F-41BED6A1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5C3B6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5C3B67"/>
    <w:pPr>
      <w:keepNext/>
      <w:keepLines/>
      <w:spacing w:before="200"/>
      <w:outlineLvl w:val="6"/>
    </w:pPr>
    <w:rPr>
      <w:rFonts w:ascii="Franklin Gothic Medium" w:hAnsi="Franklin Gothic Medium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62731A"/>
    <w:pPr>
      <w:ind w:left="720"/>
      <w:contextualSpacing/>
    </w:pPr>
  </w:style>
  <w:style w:type="character" w:customStyle="1" w:styleId="70">
    <w:name w:val="Заголовок 7 Знак"/>
    <w:link w:val="7"/>
    <w:rsid w:val="005C3B67"/>
    <w:rPr>
      <w:rFonts w:ascii="Franklin Gothic Medium" w:hAnsi="Franklin Gothic Medium"/>
      <w:i/>
      <w:iCs/>
      <w:color w:val="404040"/>
      <w:lang w:val="x-none" w:eastAsia="x-none"/>
    </w:rPr>
  </w:style>
  <w:style w:type="paragraph" w:styleId="a3">
    <w:name w:val="footnote text"/>
    <w:basedOn w:val="a"/>
    <w:link w:val="a4"/>
    <w:uiPriority w:val="99"/>
    <w:rsid w:val="005C3B6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C3B67"/>
  </w:style>
  <w:style w:type="character" w:styleId="a5">
    <w:name w:val="footnote reference"/>
    <w:rsid w:val="005C3B67"/>
    <w:rPr>
      <w:vertAlign w:val="superscript"/>
    </w:rPr>
  </w:style>
  <w:style w:type="paragraph" w:customStyle="1" w:styleId="1">
    <w:name w:val="Стиль1"/>
    <w:basedOn w:val="a6"/>
    <w:uiPriority w:val="99"/>
    <w:rsid w:val="005C3B67"/>
    <w:pPr>
      <w:numPr>
        <w:numId w:val="7"/>
      </w:numPr>
      <w:tabs>
        <w:tab w:val="clear" w:pos="1002"/>
      </w:tabs>
      <w:ind w:left="720" w:right="706" w:hanging="360"/>
      <w:jc w:val="both"/>
    </w:pPr>
    <w:rPr>
      <w:rFonts w:eastAsia="Arial Unicode MS"/>
      <w:iCs/>
      <w:szCs w:val="18"/>
      <w:lang w:val="x-none"/>
    </w:rPr>
  </w:style>
  <w:style w:type="paragraph" w:customStyle="1" w:styleId="12">
    <w:name w:val="з1"/>
    <w:basedOn w:val="10"/>
    <w:link w:val="13"/>
    <w:qFormat/>
    <w:rsid w:val="005C3B67"/>
    <w:pPr>
      <w:keepLines/>
      <w:spacing w:before="0" w:after="0"/>
      <w:ind w:firstLine="709"/>
    </w:pPr>
    <w:rPr>
      <w:rFonts w:ascii="Times New Roman" w:hAnsi="Times New Roman"/>
      <w:color w:val="365F91"/>
      <w:kern w:val="0"/>
      <w:sz w:val="24"/>
      <w:szCs w:val="24"/>
    </w:rPr>
  </w:style>
  <w:style w:type="character" w:customStyle="1" w:styleId="13">
    <w:name w:val="з1 Знак"/>
    <w:link w:val="12"/>
    <w:rsid w:val="005C3B67"/>
    <w:rPr>
      <w:b/>
      <w:bCs/>
      <w:color w:val="365F91"/>
      <w:sz w:val="24"/>
      <w:szCs w:val="24"/>
      <w:lang w:val="x-none" w:eastAsia="x-none"/>
    </w:rPr>
  </w:style>
  <w:style w:type="paragraph" w:styleId="a6">
    <w:name w:val="Normal (Web)"/>
    <w:basedOn w:val="a"/>
    <w:rsid w:val="005C3B67"/>
  </w:style>
  <w:style w:type="character" w:customStyle="1" w:styleId="11">
    <w:name w:val="Заголовок 1 Знак"/>
    <w:link w:val="10"/>
    <w:rsid w:val="005C3B6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7">
    <w:name w:val="Table Grid"/>
    <w:basedOn w:val="a1"/>
    <w:rsid w:val="00495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AF0491"/>
    <w:rPr>
      <w:rFonts w:ascii="Calibri" w:hAnsi="Calibri"/>
      <w:sz w:val="22"/>
      <w:szCs w:val="22"/>
    </w:rPr>
  </w:style>
  <w:style w:type="character" w:styleId="a9">
    <w:name w:val="Hyperlink"/>
    <w:rsid w:val="00C77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структуре и оформлению текстов статей</vt:lpstr>
    </vt:vector>
  </TitlesOfParts>
  <Company/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структуре и оформлению текстов статей</dc:title>
  <dc:subject/>
  <dc:creator>User</dc:creator>
  <cp:keywords/>
  <cp:lastModifiedBy>nabolina</cp:lastModifiedBy>
  <cp:revision>2</cp:revision>
  <dcterms:created xsi:type="dcterms:W3CDTF">2014-08-28T12:34:00Z</dcterms:created>
  <dcterms:modified xsi:type="dcterms:W3CDTF">2014-08-28T12:34:00Z</dcterms:modified>
</cp:coreProperties>
</file>