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73" w:rsidRDefault="00E95FFA" w:rsidP="00E95FFA">
      <w:pPr>
        <w:jc w:val="center"/>
        <w:rPr>
          <w:rFonts w:ascii="Times New Roman" w:hAnsi="Times New Roman" w:cs="Times New Roman"/>
          <w:sz w:val="24"/>
          <w:szCs w:val="24"/>
        </w:rPr>
      </w:pPr>
      <w:bookmarkStart w:id="0" w:name="_GoBack"/>
      <w:bookmarkEnd w:id="0"/>
      <w:r w:rsidRPr="00E95FFA">
        <w:rPr>
          <w:rFonts w:ascii="Times New Roman" w:hAnsi="Times New Roman" w:cs="Times New Roman"/>
          <w:sz w:val="36"/>
          <w:szCs w:val="36"/>
        </w:rPr>
        <w:t xml:space="preserve">Willingness to pay to </w:t>
      </w:r>
      <w:r w:rsidR="00C9640E" w:rsidRPr="00E95FFA">
        <w:rPr>
          <w:rFonts w:ascii="Times New Roman" w:hAnsi="Times New Roman" w:cs="Times New Roman"/>
          <w:sz w:val="36"/>
          <w:szCs w:val="36"/>
        </w:rPr>
        <w:t>host</w:t>
      </w:r>
      <w:r w:rsidRPr="00E95FFA">
        <w:rPr>
          <w:rFonts w:ascii="Times New Roman" w:hAnsi="Times New Roman" w:cs="Times New Roman"/>
          <w:sz w:val="36"/>
          <w:szCs w:val="36"/>
        </w:rPr>
        <w:t xml:space="preserve"> the Summer Olympic Games</w:t>
      </w:r>
      <w:r w:rsidR="00457D8F">
        <w:rPr>
          <w:rStyle w:val="a6"/>
          <w:rFonts w:ascii="Times New Roman" w:hAnsi="Times New Roman" w:cs="Times New Roman"/>
          <w:sz w:val="24"/>
          <w:szCs w:val="24"/>
        </w:rPr>
        <w:footnoteReference w:id="1"/>
      </w:r>
    </w:p>
    <w:p w:rsidR="00E95FFA" w:rsidRDefault="00E95FFA">
      <w:pPr>
        <w:rPr>
          <w:rFonts w:ascii="Times New Roman" w:hAnsi="Times New Roman" w:cs="Times New Roman"/>
          <w:sz w:val="24"/>
          <w:szCs w:val="24"/>
        </w:rPr>
      </w:pPr>
    </w:p>
    <w:p w:rsidR="00E95FFA" w:rsidRDefault="00E95FFA">
      <w:pPr>
        <w:rPr>
          <w:rFonts w:ascii="Times New Roman" w:hAnsi="Times New Roman" w:cs="Times New Roman"/>
          <w:sz w:val="24"/>
          <w:szCs w:val="24"/>
        </w:rPr>
      </w:pPr>
    </w:p>
    <w:p w:rsidR="00E95FFA" w:rsidRDefault="00E95FFA">
      <w:pPr>
        <w:rPr>
          <w:rFonts w:ascii="Times New Roman" w:hAnsi="Times New Roman" w:cs="Times New Roman"/>
          <w:sz w:val="24"/>
          <w:szCs w:val="24"/>
        </w:rPr>
      </w:pPr>
    </w:p>
    <w:p w:rsidR="00E95FFA" w:rsidRDefault="00E95FFA">
      <w:pPr>
        <w:rPr>
          <w:rFonts w:ascii="Times New Roman" w:hAnsi="Times New Roman" w:cs="Times New Roman"/>
          <w:sz w:val="24"/>
          <w:szCs w:val="24"/>
        </w:rPr>
      </w:pPr>
    </w:p>
    <w:p w:rsidR="00E95FFA" w:rsidRDefault="00E95FFA">
      <w:pPr>
        <w:rPr>
          <w:rFonts w:ascii="Times New Roman" w:hAnsi="Times New Roman" w:cs="Times New Roman"/>
          <w:sz w:val="24"/>
          <w:szCs w:val="24"/>
        </w:rPr>
      </w:pP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Dennis Coates</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Department of Economics</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UMBC</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Baltimore, MD USA</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 xml:space="preserve">and </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HSE International Lab on Intangible-driven economy</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Perm, Russia</w:t>
      </w:r>
    </w:p>
    <w:p w:rsidR="00E95FFA" w:rsidRDefault="00E95FFA" w:rsidP="00E95FFA">
      <w:pPr>
        <w:jc w:val="center"/>
        <w:rPr>
          <w:rFonts w:ascii="Times New Roman" w:hAnsi="Times New Roman" w:cs="Times New Roman"/>
          <w:sz w:val="24"/>
          <w:szCs w:val="24"/>
        </w:rPr>
      </w:pPr>
    </w:p>
    <w:p w:rsidR="00E95FFA" w:rsidRDefault="00E95FFA" w:rsidP="00E95FFA">
      <w:pPr>
        <w:jc w:val="center"/>
        <w:rPr>
          <w:rFonts w:ascii="Times New Roman" w:hAnsi="Times New Roman" w:cs="Times New Roman"/>
          <w:sz w:val="24"/>
          <w:szCs w:val="24"/>
        </w:rPr>
      </w:pP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Stefan Szymanski</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Department of Kinesiology</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University of Michigan</w:t>
      </w:r>
    </w:p>
    <w:p w:rsidR="00E95FFA" w:rsidRDefault="00E95FFA" w:rsidP="00E95FFA">
      <w:pPr>
        <w:jc w:val="center"/>
        <w:rPr>
          <w:rFonts w:ascii="Times New Roman" w:hAnsi="Times New Roman" w:cs="Times New Roman"/>
          <w:sz w:val="24"/>
          <w:szCs w:val="24"/>
        </w:rPr>
      </w:pPr>
      <w:r>
        <w:rPr>
          <w:rFonts w:ascii="Times New Roman" w:hAnsi="Times New Roman" w:cs="Times New Roman"/>
          <w:sz w:val="24"/>
          <w:szCs w:val="24"/>
        </w:rPr>
        <w:t>Ann Arbor, MI USA</w:t>
      </w:r>
    </w:p>
    <w:p w:rsidR="00E95FFA" w:rsidRDefault="00E95FFA">
      <w:pPr>
        <w:rPr>
          <w:rFonts w:ascii="Times New Roman" w:hAnsi="Times New Roman" w:cs="Times New Roman"/>
          <w:sz w:val="24"/>
          <w:szCs w:val="24"/>
        </w:rPr>
      </w:pPr>
    </w:p>
    <w:p w:rsidR="00E95FFA" w:rsidRDefault="00E95FFA">
      <w:pPr>
        <w:rPr>
          <w:rFonts w:ascii="Times New Roman" w:hAnsi="Times New Roman" w:cs="Times New Roman"/>
          <w:sz w:val="24"/>
          <w:szCs w:val="24"/>
        </w:rPr>
      </w:pPr>
      <w:r>
        <w:rPr>
          <w:rFonts w:ascii="Times New Roman" w:hAnsi="Times New Roman" w:cs="Times New Roman"/>
          <w:sz w:val="24"/>
          <w:szCs w:val="24"/>
        </w:rPr>
        <w:br w:type="page"/>
      </w:r>
    </w:p>
    <w:p w:rsidR="00E95FFA" w:rsidRDefault="00E95FFA">
      <w:pPr>
        <w:rPr>
          <w:rFonts w:ascii="Times New Roman" w:hAnsi="Times New Roman" w:cs="Times New Roman"/>
          <w:sz w:val="24"/>
          <w:szCs w:val="24"/>
        </w:rPr>
      </w:pPr>
    </w:p>
    <w:p w:rsidR="00494277" w:rsidRDefault="00B25B61" w:rsidP="00494277">
      <w:pPr>
        <w:spacing w:line="480" w:lineRule="auto"/>
        <w:rPr>
          <w:rFonts w:ascii="Times New Roman" w:hAnsi="Times New Roman" w:cs="Times New Roman"/>
          <w:sz w:val="24"/>
          <w:szCs w:val="24"/>
        </w:rPr>
      </w:pPr>
      <w:r>
        <w:rPr>
          <w:rFonts w:ascii="Times New Roman" w:hAnsi="Times New Roman" w:cs="Times New Roman"/>
          <w:sz w:val="24"/>
          <w:szCs w:val="24"/>
        </w:rPr>
        <w:t>In 2013 the United States Olympic Committee (USOC) announced that it would consider supporting a bid host the 2024. It is widely suggested that the US will be well placed to host the games in that year. The games are awarded by the International Olympic Committee (IOC) and the USOC recently settled a long standing dispute over the allocation of Olympic revenues which had clouded Chicago’s 2016 bid for the games. By 2024 it will be 28 years since the games were held in North America, and following games in Tokyo, Rio and London there is a sense that it is North America’s turn. In June 2014 the USOC announced that four cities have been shortlisted – Boston, Los Angeles, San Francisco and Washington.</w:t>
      </w:r>
    </w:p>
    <w:p w:rsidR="000F7098" w:rsidRDefault="000F7098" w:rsidP="004942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substantial agreement among academic economists that the case for hosting mega-events is a weak one.  Baade and Matheson (2004) evaluated the FIFA World Cup held in the United States in 1994 and found that “host cities </w:t>
      </w:r>
      <w:r w:rsidR="00DB467F">
        <w:rPr>
          <w:rFonts w:ascii="Times New Roman" w:hAnsi="Times New Roman" w:cs="Times New Roman"/>
          <w:sz w:val="24"/>
          <w:szCs w:val="24"/>
        </w:rPr>
        <w:t xml:space="preserve">experienced cumulative losses of $5.5 to $9.3 billion as opposed to the ex ante estimates of a $4 billion gain touted by boosters.”  Porter and Fletcher (2008) examined the impact of the Winter Olympic Games on Salt Lake City, Utah.  They found little evidence of a boost in economic activity, but did find a large spike in the cost of renting a hotel room.  Porter and Chin (2012) review the literature on the economic impact of events.  They report that between 2000 and 2010, more than 40 articles </w:t>
      </w:r>
      <w:r w:rsidR="00606A8F">
        <w:rPr>
          <w:rFonts w:ascii="Times New Roman" w:hAnsi="Times New Roman" w:cs="Times New Roman"/>
          <w:sz w:val="24"/>
          <w:szCs w:val="24"/>
        </w:rPr>
        <w:t xml:space="preserve">looking for an impact of sports events or teams appeared in academic journals.  “Without exception, these authors found no consistent positive impact from a sporting event, often finding the event associated with a negative impact.”  With this information as backdrop, one has to wonder why cities and countries are often eager to bid to host the Olympics or the World Cup.  </w:t>
      </w:r>
    </w:p>
    <w:p w:rsidR="00FB6C2D" w:rsidRDefault="00606A8F" w:rsidP="00FB6C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course, one explanation is that citizens may not have this information.  That seems unlikely in this age of rapid information transmission around the world.  More probably, </w:t>
      </w:r>
      <w:r>
        <w:rPr>
          <w:rFonts w:ascii="Times New Roman" w:hAnsi="Times New Roman" w:cs="Times New Roman"/>
          <w:sz w:val="24"/>
          <w:szCs w:val="24"/>
        </w:rPr>
        <w:lastRenderedPageBreak/>
        <w:t xml:space="preserve">significant numbers of people support the bids because hosting the event brings prestige to their city or country, because hosting the event may provide leverage for other needed infrastructure projects, or simply because they are sports fans.  </w:t>
      </w:r>
      <w:r w:rsidR="00FB6C2D">
        <w:rPr>
          <w:rFonts w:ascii="Times New Roman" w:hAnsi="Times New Roman" w:cs="Times New Roman"/>
          <w:sz w:val="24"/>
          <w:szCs w:val="24"/>
        </w:rPr>
        <w:t>For supporters, it is likely that the costs they personally</w:t>
      </w:r>
      <w:r w:rsidR="003A56C5">
        <w:rPr>
          <w:rFonts w:ascii="Times New Roman" w:hAnsi="Times New Roman" w:cs="Times New Roman"/>
          <w:sz w:val="24"/>
          <w:szCs w:val="24"/>
        </w:rPr>
        <w:t xml:space="preserve"> incur</w:t>
      </w:r>
      <w:r w:rsidR="00FB6C2D">
        <w:rPr>
          <w:rFonts w:ascii="Times New Roman" w:hAnsi="Times New Roman" w:cs="Times New Roman"/>
          <w:sz w:val="24"/>
          <w:szCs w:val="24"/>
        </w:rPr>
        <w:t xml:space="preserve"> and even tho</w:t>
      </w:r>
      <w:r w:rsidR="003A56C5">
        <w:rPr>
          <w:rFonts w:ascii="Times New Roman" w:hAnsi="Times New Roman" w:cs="Times New Roman"/>
          <w:sz w:val="24"/>
          <w:szCs w:val="24"/>
        </w:rPr>
        <w:t>se that their country will bear</w:t>
      </w:r>
      <w:r w:rsidR="00FB6C2D">
        <w:rPr>
          <w:rFonts w:ascii="Times New Roman" w:hAnsi="Times New Roman" w:cs="Times New Roman"/>
          <w:sz w:val="24"/>
          <w:szCs w:val="24"/>
        </w:rPr>
        <w:t xml:space="preserve"> are smaller than the benefits </w:t>
      </w:r>
      <w:r w:rsidR="00BF0EAC">
        <w:rPr>
          <w:rFonts w:ascii="Times New Roman" w:hAnsi="Times New Roman" w:cs="Times New Roman"/>
          <w:sz w:val="24"/>
          <w:szCs w:val="24"/>
        </w:rPr>
        <w:t>of hosting the event.</w:t>
      </w:r>
    </w:p>
    <w:p w:rsidR="00B25B61" w:rsidRDefault="00FB6C2D" w:rsidP="00FB6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Whatever the motivation of the local population, it is clear that a</w:t>
      </w:r>
      <w:r w:rsidR="00B25B61">
        <w:rPr>
          <w:rFonts w:ascii="Times New Roman" w:hAnsi="Times New Roman" w:cs="Times New Roman"/>
          <w:sz w:val="24"/>
          <w:szCs w:val="24"/>
        </w:rPr>
        <w:t>n important aspect of winning a bid to host the game</w:t>
      </w:r>
      <w:r w:rsidR="00665838">
        <w:rPr>
          <w:rFonts w:ascii="Times New Roman" w:hAnsi="Times New Roman" w:cs="Times New Roman"/>
          <w:sz w:val="24"/>
          <w:szCs w:val="24"/>
        </w:rPr>
        <w:t>s</w:t>
      </w:r>
      <w:r w:rsidR="00B25B61">
        <w:rPr>
          <w:rFonts w:ascii="Times New Roman" w:hAnsi="Times New Roman" w:cs="Times New Roman"/>
          <w:sz w:val="24"/>
          <w:szCs w:val="24"/>
        </w:rPr>
        <w:t xml:space="preserve"> is public support. For example, many felt that the failure of Tokyo’s bid in 2016 was </w:t>
      </w:r>
      <w:r w:rsidR="00665838">
        <w:rPr>
          <w:rFonts w:ascii="Times New Roman" w:hAnsi="Times New Roman" w:cs="Times New Roman"/>
          <w:sz w:val="24"/>
          <w:szCs w:val="24"/>
        </w:rPr>
        <w:t xml:space="preserve">the result of </w:t>
      </w:r>
      <w:r w:rsidR="00B25B61">
        <w:rPr>
          <w:rFonts w:ascii="Times New Roman" w:hAnsi="Times New Roman" w:cs="Times New Roman"/>
          <w:sz w:val="24"/>
          <w:szCs w:val="24"/>
        </w:rPr>
        <w:t>a limited degree of public enthusiasm, and public opinion seemed much more strongly supportive of the even</w:t>
      </w:r>
      <w:r w:rsidR="00665838">
        <w:rPr>
          <w:rFonts w:ascii="Times New Roman" w:hAnsi="Times New Roman" w:cs="Times New Roman"/>
          <w:sz w:val="24"/>
          <w:szCs w:val="24"/>
        </w:rPr>
        <w:t xml:space="preserve">tually successful 2020 bid. </w:t>
      </w:r>
      <w:r w:rsidR="00BA03C8">
        <w:rPr>
          <w:rFonts w:ascii="Times New Roman" w:hAnsi="Times New Roman" w:cs="Times New Roman"/>
          <w:sz w:val="24"/>
          <w:szCs w:val="24"/>
        </w:rPr>
        <w:t xml:space="preserve"> Similarly, Munich likely lost its bid to host the 2018 Winter Olympics because of opposition based on ecological grounds, despite a favorable referendum outcome </w:t>
      </w:r>
      <w:r w:rsidR="00D72D95">
        <w:rPr>
          <w:rFonts w:ascii="Times New Roman" w:hAnsi="Times New Roman" w:cs="Times New Roman"/>
          <w:sz w:val="24"/>
          <w:szCs w:val="24"/>
        </w:rPr>
        <w:t>in one potential host jurisdiction just two months before the IOC vote</w:t>
      </w:r>
      <w:r w:rsidR="00BA03C8">
        <w:rPr>
          <w:rFonts w:ascii="Times New Roman" w:hAnsi="Times New Roman" w:cs="Times New Roman"/>
          <w:sz w:val="24"/>
          <w:szCs w:val="24"/>
        </w:rPr>
        <w:t xml:space="preserve">.  </w:t>
      </w:r>
      <w:r w:rsidR="00D72D95" w:rsidRPr="00D72D95">
        <w:rPr>
          <w:rFonts w:ascii="Times New Roman" w:hAnsi="Times New Roman" w:cs="Times New Roman"/>
          <w:sz w:val="24"/>
          <w:szCs w:val="24"/>
        </w:rPr>
        <w:t>(Mackay, 2013</w:t>
      </w:r>
      <w:r w:rsidR="00D72D95" w:rsidRPr="00D72D95">
        <w:rPr>
          <w:rFonts w:ascii="Times New Roman" w:hAnsi="Times New Roman" w:cs="Times New Roman"/>
          <w:b/>
          <w:sz w:val="24"/>
          <w:szCs w:val="24"/>
        </w:rPr>
        <w:t>)</w:t>
      </w:r>
      <w:r w:rsidR="00D72D95">
        <w:rPr>
          <w:rFonts w:ascii="Times New Roman" w:hAnsi="Times New Roman" w:cs="Times New Roman"/>
          <w:b/>
          <w:sz w:val="24"/>
          <w:szCs w:val="24"/>
        </w:rPr>
        <w:t xml:space="preserve"> </w:t>
      </w:r>
      <w:r w:rsidR="00BA03C8">
        <w:rPr>
          <w:rFonts w:ascii="Times New Roman" w:hAnsi="Times New Roman" w:cs="Times New Roman"/>
          <w:sz w:val="24"/>
          <w:szCs w:val="24"/>
        </w:rPr>
        <w:t xml:space="preserve"> In fact, there were at least four referenda with regard to bidding to host the 2022 Winter Olympics, in Krakow, Poland, Oslo, Norway, Munich, Germany, and St. Moritz/Davos, Switzerland.  Only the Oslo referendum passed.  In each of these recent referendums, an important issue has been the enormous expense of hosting the Games, especially in light of the reports that the Russian Federation spent </w:t>
      </w:r>
      <w:r w:rsidR="00AC78A4">
        <w:rPr>
          <w:rFonts w:ascii="Times New Roman" w:hAnsi="Times New Roman" w:cs="Times New Roman"/>
          <w:sz w:val="24"/>
          <w:szCs w:val="24"/>
        </w:rPr>
        <w:t>$50 billion to put on the Sochi Winter Olympic Games.</w:t>
      </w:r>
      <w:r w:rsidR="00E65395">
        <w:rPr>
          <w:rFonts w:ascii="Times New Roman" w:hAnsi="Times New Roman" w:cs="Times New Roman"/>
          <w:sz w:val="24"/>
          <w:szCs w:val="24"/>
        </w:rPr>
        <w:t xml:space="preserve"> (Zurawski, 2014</w:t>
      </w:r>
      <w:r w:rsidR="00B1573F">
        <w:rPr>
          <w:rFonts w:ascii="Times New Roman" w:hAnsi="Times New Roman" w:cs="Times New Roman"/>
          <w:sz w:val="24"/>
          <w:szCs w:val="24"/>
        </w:rPr>
        <w:t>; Mackay, 2014</w:t>
      </w:r>
      <w:r w:rsidR="00E65395">
        <w:rPr>
          <w:rFonts w:ascii="Times New Roman" w:hAnsi="Times New Roman" w:cs="Times New Roman"/>
          <w:sz w:val="24"/>
          <w:szCs w:val="24"/>
        </w:rPr>
        <w:t>).</w:t>
      </w:r>
      <w:r w:rsidR="00AC78A4">
        <w:rPr>
          <w:rFonts w:ascii="Times New Roman" w:hAnsi="Times New Roman" w:cs="Times New Roman"/>
          <w:sz w:val="24"/>
          <w:szCs w:val="24"/>
        </w:rPr>
        <w:t xml:space="preserve">  Given these concerns about the cost of hosting the Games, t</w:t>
      </w:r>
      <w:r w:rsidR="00B25B61">
        <w:rPr>
          <w:rFonts w:ascii="Times New Roman" w:hAnsi="Times New Roman" w:cs="Times New Roman"/>
          <w:sz w:val="24"/>
          <w:szCs w:val="24"/>
        </w:rPr>
        <w:t xml:space="preserve">his paper </w:t>
      </w:r>
      <w:r w:rsidR="00AC78A4">
        <w:rPr>
          <w:rFonts w:ascii="Times New Roman" w:hAnsi="Times New Roman" w:cs="Times New Roman"/>
          <w:sz w:val="24"/>
          <w:szCs w:val="24"/>
        </w:rPr>
        <w:t>focuse</w:t>
      </w:r>
      <w:r w:rsidR="00B25B61">
        <w:rPr>
          <w:rFonts w:ascii="Times New Roman" w:hAnsi="Times New Roman" w:cs="Times New Roman"/>
          <w:sz w:val="24"/>
          <w:szCs w:val="24"/>
        </w:rPr>
        <w:t>s</w:t>
      </w:r>
      <w:r w:rsidR="00AC78A4">
        <w:rPr>
          <w:rFonts w:ascii="Times New Roman" w:hAnsi="Times New Roman" w:cs="Times New Roman"/>
          <w:sz w:val="24"/>
          <w:szCs w:val="24"/>
        </w:rPr>
        <w:t xml:space="preserve"> on</w:t>
      </w:r>
      <w:r w:rsidR="00B25B61">
        <w:rPr>
          <w:rFonts w:ascii="Times New Roman" w:hAnsi="Times New Roman" w:cs="Times New Roman"/>
          <w:sz w:val="24"/>
          <w:szCs w:val="24"/>
        </w:rPr>
        <w:t xml:space="preserve"> opinions expressed by a sample of Americans about hosting the</w:t>
      </w:r>
      <w:r w:rsidR="00AC78A4">
        <w:rPr>
          <w:rFonts w:ascii="Times New Roman" w:hAnsi="Times New Roman" w:cs="Times New Roman"/>
          <w:sz w:val="24"/>
          <w:szCs w:val="24"/>
        </w:rPr>
        <w:t xml:space="preserve"> Summer</w:t>
      </w:r>
      <w:r w:rsidR="00B25B61">
        <w:rPr>
          <w:rFonts w:ascii="Times New Roman" w:hAnsi="Times New Roman" w:cs="Times New Roman"/>
          <w:sz w:val="24"/>
          <w:szCs w:val="24"/>
        </w:rPr>
        <w:t xml:space="preserve"> Olympic </w:t>
      </w:r>
      <w:r w:rsidR="00665838">
        <w:rPr>
          <w:rFonts w:ascii="Times New Roman" w:hAnsi="Times New Roman" w:cs="Times New Roman"/>
          <w:sz w:val="24"/>
          <w:szCs w:val="24"/>
        </w:rPr>
        <w:t>G</w:t>
      </w:r>
      <w:r w:rsidR="00B25B61">
        <w:rPr>
          <w:rFonts w:ascii="Times New Roman" w:hAnsi="Times New Roman" w:cs="Times New Roman"/>
          <w:sz w:val="24"/>
          <w:szCs w:val="24"/>
        </w:rPr>
        <w:t>ames.</w:t>
      </w:r>
      <w:r w:rsidR="00AC78A4">
        <w:rPr>
          <w:rFonts w:ascii="Times New Roman" w:hAnsi="Times New Roman" w:cs="Times New Roman"/>
          <w:sz w:val="24"/>
          <w:szCs w:val="24"/>
        </w:rPr>
        <w:t xml:space="preserve">  The purpose is to more fully understand people’s valuation of hosting the Olympics.</w:t>
      </w:r>
    </w:p>
    <w:p w:rsidR="00AC78A4" w:rsidRDefault="00AC78A4" w:rsidP="00AC78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analysis here addresses two questions about citizen interest in hosting the Summer Olympics.  Effective demand is based on willingness and ability to pay.  Our first question is how much are US residents willing and able to pay to host the Olympics.  Relatedly, we assess </w:t>
      </w:r>
      <w:r>
        <w:rPr>
          <w:rFonts w:ascii="Times New Roman" w:hAnsi="Times New Roman" w:cs="Times New Roman"/>
          <w:sz w:val="24"/>
          <w:szCs w:val="24"/>
        </w:rPr>
        <w:lastRenderedPageBreak/>
        <w:t>the determinants of that willingness and ability to pay.  For example, it is natural to think that households with higher incomes will be willing to pay more to host the event than households with low incomes.  This simply means that hosting the event is a normal good.  It is also possible that households from different regions of the country or from potential host cities are willing to pay more to host the event.  Our analysis explains the stated willingness to pay using a variety of personal characteristics and alternative empirical strategies.  We formalize our model below.</w:t>
      </w:r>
    </w:p>
    <w:p w:rsidR="00AC78A4" w:rsidRDefault="00AC78A4" w:rsidP="00AC78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Being willing to pay to host the event does not necessarily mean that one plans to attend it.  Our second question addresses the issue of willingness to travel to the event location.  People who value the event more will, all other things constant, be willing to travel farther to witness the games in person than individuals who place less, or no, value on the event.  By contrast, someone who is unwilling to pay to host the event may, nonetheless, value it sufficiently to travel some distance to attend it.  We estimate a travel distance model to assess the determinants of this value, and hence the value of attendance at the Olympics. </w:t>
      </w:r>
    </w:p>
    <w:p w:rsidR="00AC78A4" w:rsidRDefault="00AC78A4" w:rsidP="00AC78A4">
      <w:pPr>
        <w:spacing w:line="480" w:lineRule="auto"/>
        <w:rPr>
          <w:rFonts w:ascii="Times New Roman" w:hAnsi="Times New Roman" w:cs="Times New Roman"/>
          <w:sz w:val="24"/>
          <w:szCs w:val="24"/>
        </w:rPr>
      </w:pPr>
      <w:r>
        <w:rPr>
          <w:rFonts w:ascii="Times New Roman" w:hAnsi="Times New Roman" w:cs="Times New Roman"/>
          <w:sz w:val="24"/>
          <w:szCs w:val="24"/>
        </w:rPr>
        <w:tab/>
        <w:t>Finally, related to the question of willingness to travel to attend the Summer Olympics is the question of which location or event individuals would choose from a set of possibilities.  Among the possibilities is the Summer Olympics, with no location specified, as well as Las Vegas, Nevada, Washington, DC, and Disneyland.  Our analysis addresses the determinants of the stated choice from among these four possibilities using a multinomial logit framework.</w:t>
      </w:r>
    </w:p>
    <w:p w:rsidR="00AC78A4" w:rsidRDefault="007A7C10" w:rsidP="004942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novel aspect of this research is the use of data collected via an online survey in which survey respondents are paid to complete the survey.  </w:t>
      </w:r>
      <w:r w:rsidR="007A504E">
        <w:rPr>
          <w:rFonts w:ascii="Times New Roman" w:hAnsi="Times New Roman" w:cs="Times New Roman"/>
          <w:sz w:val="24"/>
          <w:szCs w:val="24"/>
        </w:rPr>
        <w:t xml:space="preserve">The survey is implemented as a task to be completed at the online employment sight known as Mechanical Turk operated by Amazon.com.  At Mechanical Turk, employers submit tasks that involve data manipulation and the salary for doing so.  Payments are completed electronically upon completion of the task.  Typical tasks </w:t>
      </w:r>
      <w:r w:rsidR="007A504E">
        <w:rPr>
          <w:rFonts w:ascii="Times New Roman" w:hAnsi="Times New Roman" w:cs="Times New Roman"/>
          <w:sz w:val="24"/>
          <w:szCs w:val="24"/>
        </w:rPr>
        <w:lastRenderedPageBreak/>
        <w:t xml:space="preserve">listed on the sight include writing computer code and transcription or translation of documents.  Completion of a survey is also a common task.  </w:t>
      </w:r>
      <w:r w:rsidR="00B13E08">
        <w:rPr>
          <w:rFonts w:ascii="Times New Roman" w:hAnsi="Times New Roman" w:cs="Times New Roman"/>
          <w:sz w:val="24"/>
          <w:szCs w:val="24"/>
        </w:rPr>
        <w:t>Mechanical Turk is an inexpensive way to implement a survey since Turkers are often willing to work for a very small fee.</w:t>
      </w:r>
    </w:p>
    <w:p w:rsidR="00B13E08" w:rsidRDefault="00B25B61" w:rsidP="004942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survey </w:t>
      </w:r>
      <w:r w:rsidR="00B13E08">
        <w:rPr>
          <w:rFonts w:ascii="Times New Roman" w:hAnsi="Times New Roman" w:cs="Times New Roman"/>
          <w:sz w:val="24"/>
          <w:szCs w:val="24"/>
        </w:rPr>
        <w:t xml:space="preserve">on which this research is based </w:t>
      </w:r>
      <w:r>
        <w:rPr>
          <w:rFonts w:ascii="Times New Roman" w:hAnsi="Times New Roman" w:cs="Times New Roman"/>
          <w:sz w:val="24"/>
          <w:szCs w:val="24"/>
        </w:rPr>
        <w:t xml:space="preserve">was conducted </w:t>
      </w:r>
      <w:r w:rsidR="000C01F9">
        <w:rPr>
          <w:rFonts w:ascii="Times New Roman" w:hAnsi="Times New Roman" w:cs="Times New Roman"/>
          <w:sz w:val="24"/>
          <w:szCs w:val="24"/>
        </w:rPr>
        <w:t xml:space="preserve">in the first three weeks of April 2014 by a group of </w:t>
      </w:r>
      <w:r w:rsidR="007A504E">
        <w:rPr>
          <w:rFonts w:ascii="Times New Roman" w:hAnsi="Times New Roman" w:cs="Times New Roman"/>
          <w:sz w:val="24"/>
          <w:szCs w:val="24"/>
        </w:rPr>
        <w:t xml:space="preserve">University of </w:t>
      </w:r>
      <w:r w:rsidR="000C01F9">
        <w:rPr>
          <w:rFonts w:ascii="Times New Roman" w:hAnsi="Times New Roman" w:cs="Times New Roman"/>
          <w:sz w:val="24"/>
          <w:szCs w:val="24"/>
        </w:rPr>
        <w:t>Michigan students as a class project</w:t>
      </w:r>
      <w:r w:rsidR="007A504E">
        <w:rPr>
          <w:rFonts w:ascii="Times New Roman" w:hAnsi="Times New Roman" w:cs="Times New Roman"/>
          <w:sz w:val="24"/>
          <w:szCs w:val="24"/>
        </w:rPr>
        <w:t>.</w:t>
      </w:r>
      <w:r w:rsidR="000C01F9">
        <w:rPr>
          <w:rFonts w:ascii="Times New Roman" w:hAnsi="Times New Roman" w:cs="Times New Roman"/>
          <w:sz w:val="24"/>
          <w:szCs w:val="24"/>
        </w:rPr>
        <w:t xml:space="preserve"> </w:t>
      </w:r>
      <w:r w:rsidR="00B13E08">
        <w:rPr>
          <w:rFonts w:ascii="Times New Roman" w:hAnsi="Times New Roman" w:cs="Times New Roman"/>
          <w:sz w:val="24"/>
          <w:szCs w:val="24"/>
        </w:rPr>
        <w:t xml:space="preserve"> T</w:t>
      </w:r>
      <w:r w:rsidR="000C01F9">
        <w:rPr>
          <w:rFonts w:ascii="Times New Roman" w:hAnsi="Times New Roman" w:cs="Times New Roman"/>
          <w:sz w:val="24"/>
          <w:szCs w:val="24"/>
        </w:rPr>
        <w:t xml:space="preserve">he students offered 10 cents to anyone willing to complete the ten question survey, and received 1807 responses. The questionnaire required all respondents to have a US IP address, </w:t>
      </w:r>
      <w:r w:rsidR="00457D8F">
        <w:rPr>
          <w:rFonts w:ascii="Times New Roman" w:hAnsi="Times New Roman" w:cs="Times New Roman"/>
          <w:sz w:val="24"/>
          <w:szCs w:val="24"/>
        </w:rPr>
        <w:t>t</w:t>
      </w:r>
      <w:r w:rsidR="000C01F9">
        <w:rPr>
          <w:rFonts w:ascii="Times New Roman" w:hAnsi="Times New Roman" w:cs="Times New Roman"/>
          <w:sz w:val="24"/>
          <w:szCs w:val="24"/>
        </w:rPr>
        <w:t xml:space="preserve">he questionnaire can be found at the end of the paper. </w:t>
      </w:r>
    </w:p>
    <w:p w:rsidR="000C01F9" w:rsidRDefault="00457D8F" w:rsidP="0049427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Mechanical Turk in surveys and other social science research has generated some interest in recent years and there is now a substantial literature on the subject. Goodman et al (2013) survey a number of uses of Mechanical Turk and find that, while not without its drawbacks, the responses of employees are generally reliable. One obvious concern is the representativeness of the sample. Ipeirotis studied the profiles of people who commonly undertook Mechanical Turk tasks and found that it was not restricted to low income individuals, and that many people took part in</w:t>
      </w:r>
      <w:r w:rsidR="00B13E08">
        <w:rPr>
          <w:rFonts w:ascii="Times New Roman" w:hAnsi="Times New Roman" w:cs="Times New Roman"/>
          <w:sz w:val="24"/>
          <w:szCs w:val="24"/>
        </w:rPr>
        <w:t xml:space="preserve"> a </w:t>
      </w:r>
      <w:r>
        <w:rPr>
          <w:rFonts w:ascii="Times New Roman" w:hAnsi="Times New Roman" w:cs="Times New Roman"/>
          <w:sz w:val="24"/>
          <w:szCs w:val="24"/>
        </w:rPr>
        <w:t>task out of interest as much as for the money.</w:t>
      </w:r>
    </w:p>
    <w:p w:rsidR="001637A4" w:rsidRDefault="001637A4" w:rsidP="001637A4">
      <w:pPr>
        <w:spacing w:line="480" w:lineRule="auto"/>
        <w:rPr>
          <w:rFonts w:ascii="Times New Roman" w:hAnsi="Times New Roman" w:cs="Times New Roman"/>
          <w:sz w:val="24"/>
          <w:szCs w:val="24"/>
        </w:rPr>
      </w:pPr>
    </w:p>
    <w:p w:rsidR="001637A4" w:rsidRDefault="001637A4" w:rsidP="006F2C61">
      <w:pPr>
        <w:rPr>
          <w:rFonts w:ascii="Times New Roman" w:hAnsi="Times New Roman" w:cs="Times New Roman"/>
          <w:sz w:val="24"/>
          <w:szCs w:val="24"/>
        </w:rPr>
      </w:pPr>
      <w:r>
        <w:rPr>
          <w:rFonts w:ascii="Times New Roman" w:hAnsi="Times New Roman" w:cs="Times New Roman"/>
          <w:sz w:val="24"/>
          <w:szCs w:val="24"/>
        </w:rPr>
        <w:t>Data</w:t>
      </w:r>
    </w:p>
    <w:p w:rsidR="005D291B" w:rsidRDefault="005D291B" w:rsidP="006F2C61">
      <w:pPr>
        <w:rPr>
          <w:rFonts w:ascii="Times New Roman" w:hAnsi="Times New Roman" w:cs="Times New Roman"/>
          <w:sz w:val="24"/>
          <w:szCs w:val="24"/>
        </w:rPr>
      </w:pPr>
    </w:p>
    <w:p w:rsidR="008A7D8D" w:rsidRDefault="005D291B" w:rsidP="005D291B">
      <w:pPr>
        <w:spacing w:line="480" w:lineRule="auto"/>
        <w:rPr>
          <w:rFonts w:ascii="Times New Roman" w:hAnsi="Times New Roman" w:cs="Times New Roman"/>
          <w:sz w:val="24"/>
          <w:szCs w:val="24"/>
        </w:rPr>
      </w:pPr>
      <w:r>
        <w:rPr>
          <w:rFonts w:ascii="Times New Roman" w:hAnsi="Times New Roman" w:cs="Times New Roman"/>
          <w:sz w:val="24"/>
          <w:szCs w:val="24"/>
        </w:rPr>
        <w:tab/>
        <w:t>The survey produced a total of 1807 responses though a handful did not provide answers for all of the questions.</w:t>
      </w:r>
      <w:r w:rsidR="00CD2FB9">
        <w:rPr>
          <w:rFonts w:ascii="Times New Roman" w:hAnsi="Times New Roman" w:cs="Times New Roman"/>
          <w:sz w:val="24"/>
          <w:szCs w:val="24"/>
        </w:rPr>
        <w:t xml:space="preserve">  Observations with missing or inappropriate values for any of the variables are dropped leaving 17</w:t>
      </w:r>
      <w:r w:rsidR="00201740">
        <w:rPr>
          <w:rFonts w:ascii="Times New Roman" w:hAnsi="Times New Roman" w:cs="Times New Roman"/>
          <w:sz w:val="24"/>
          <w:szCs w:val="24"/>
        </w:rPr>
        <w:t>68</w:t>
      </w:r>
      <w:r w:rsidR="00CD2FB9">
        <w:rPr>
          <w:rFonts w:ascii="Times New Roman" w:hAnsi="Times New Roman" w:cs="Times New Roman"/>
          <w:sz w:val="24"/>
          <w:szCs w:val="24"/>
        </w:rPr>
        <w:t xml:space="preserve"> observations in the sample.</w:t>
      </w:r>
      <w:r w:rsidR="0094671D">
        <w:rPr>
          <w:rFonts w:ascii="Times New Roman" w:hAnsi="Times New Roman" w:cs="Times New Roman"/>
          <w:sz w:val="24"/>
          <w:szCs w:val="24"/>
        </w:rPr>
        <w:t xml:space="preserve"> </w:t>
      </w:r>
      <w:r w:rsidR="00CD2FB9">
        <w:rPr>
          <w:rFonts w:ascii="Times New Roman" w:hAnsi="Times New Roman" w:cs="Times New Roman"/>
          <w:sz w:val="24"/>
          <w:szCs w:val="24"/>
        </w:rPr>
        <w:t xml:space="preserve">Table 1 reports descriptive statistics for variables used in the analysis.  </w:t>
      </w:r>
      <w:r w:rsidR="008A7D8D">
        <w:rPr>
          <w:rFonts w:ascii="Times New Roman" w:hAnsi="Times New Roman" w:cs="Times New Roman"/>
          <w:sz w:val="24"/>
          <w:szCs w:val="24"/>
        </w:rPr>
        <w:t xml:space="preserve">Respondents reported their race, gender, and age.  The typical respondent is white (75%), male (66%) and in his twenties.  </w:t>
      </w:r>
      <w:r w:rsidR="00F76AE1">
        <w:rPr>
          <w:rFonts w:ascii="Times New Roman" w:hAnsi="Times New Roman" w:cs="Times New Roman"/>
          <w:sz w:val="24"/>
          <w:szCs w:val="24"/>
        </w:rPr>
        <w:t xml:space="preserve">Finalist indicates that </w:t>
      </w:r>
      <w:r w:rsidR="00F76AE1">
        <w:rPr>
          <w:rFonts w:ascii="Times New Roman" w:hAnsi="Times New Roman" w:cs="Times New Roman"/>
          <w:sz w:val="24"/>
          <w:szCs w:val="24"/>
        </w:rPr>
        <w:lastRenderedPageBreak/>
        <w:t>a</w:t>
      </w:r>
      <w:r w:rsidR="008A7D8D">
        <w:rPr>
          <w:rFonts w:ascii="Times New Roman" w:hAnsi="Times New Roman" w:cs="Times New Roman"/>
          <w:sz w:val="24"/>
          <w:szCs w:val="24"/>
        </w:rPr>
        <w:t xml:space="preserve">bout 10% of the respondents are from one of the four cities (Boston, Washington, San Francisco, and Los Angeles) </w:t>
      </w:r>
      <w:r w:rsidR="00514B14">
        <w:rPr>
          <w:rFonts w:ascii="Times New Roman" w:hAnsi="Times New Roman" w:cs="Times New Roman"/>
          <w:sz w:val="24"/>
          <w:szCs w:val="24"/>
        </w:rPr>
        <w:t>still</w:t>
      </w:r>
      <w:r w:rsidR="008A7D8D">
        <w:rPr>
          <w:rFonts w:ascii="Times New Roman" w:hAnsi="Times New Roman" w:cs="Times New Roman"/>
          <w:sz w:val="24"/>
          <w:szCs w:val="24"/>
        </w:rPr>
        <w:t xml:space="preserve"> in the running to be the US bidder for the 2024 Summer Olympics.</w:t>
      </w:r>
    </w:p>
    <w:p w:rsidR="008A7D8D" w:rsidRDefault="00F76AE1" w:rsidP="005D29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Survey respondents reported their zip code which was used to </w:t>
      </w:r>
      <w:r w:rsidR="00514B14">
        <w:rPr>
          <w:rFonts w:ascii="Times New Roman" w:hAnsi="Times New Roman" w:cs="Times New Roman"/>
          <w:sz w:val="24"/>
          <w:szCs w:val="24"/>
        </w:rPr>
        <w:t xml:space="preserve">categorize the observations by </w:t>
      </w:r>
      <w:r>
        <w:rPr>
          <w:rFonts w:ascii="Times New Roman" w:hAnsi="Times New Roman" w:cs="Times New Roman"/>
          <w:sz w:val="24"/>
          <w:szCs w:val="24"/>
        </w:rPr>
        <w:t>states and regions.  All 50 states and the District of Columbia are represented, with two respondents from Wyoming and North Dakota, and 227 from California and more than 100 from each of New York, Florida, and Texas.</w:t>
      </w:r>
      <w:r w:rsidR="0025759A">
        <w:rPr>
          <w:rFonts w:ascii="Times New Roman" w:hAnsi="Times New Roman" w:cs="Times New Roman"/>
          <w:sz w:val="24"/>
          <w:szCs w:val="24"/>
        </w:rPr>
        <w:t xml:space="preserve">  </w:t>
      </w:r>
      <w:r w:rsidR="004043D5">
        <w:rPr>
          <w:rFonts w:ascii="Times New Roman" w:hAnsi="Times New Roman" w:cs="Times New Roman"/>
          <w:sz w:val="24"/>
          <w:szCs w:val="24"/>
        </w:rPr>
        <w:t>Table 1 reports the proportion of the sample that stated a home location in each of the nine census districts.</w:t>
      </w:r>
    </w:p>
    <w:p w:rsidR="00764A5A" w:rsidRDefault="00340656" w:rsidP="005D29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Survey respondents were asked about willingness to spend, willingness to drive, and household income in ranges.  </w:t>
      </w:r>
      <w:r w:rsidR="004043D5">
        <w:rPr>
          <w:rFonts w:ascii="Times New Roman" w:hAnsi="Times New Roman" w:cs="Times New Roman"/>
          <w:sz w:val="24"/>
          <w:szCs w:val="24"/>
        </w:rPr>
        <w:tab/>
      </w:r>
      <w:r w:rsidR="00465F1A">
        <w:rPr>
          <w:rFonts w:ascii="Times New Roman" w:hAnsi="Times New Roman" w:cs="Times New Roman"/>
          <w:sz w:val="24"/>
          <w:szCs w:val="24"/>
        </w:rPr>
        <w:t>In Table 1, willingness to spend and to drive are reported for the full sample, but Table 2 reports the means and medians by each of the nine census regions. Tables 3 through 5</w:t>
      </w:r>
      <w:r w:rsidR="004043D5">
        <w:rPr>
          <w:rFonts w:ascii="Times New Roman" w:hAnsi="Times New Roman" w:cs="Times New Roman"/>
          <w:sz w:val="24"/>
          <w:szCs w:val="24"/>
        </w:rPr>
        <w:t xml:space="preserve"> provide information on the stated willingness to pay to host the Olympics, the stated willingness to drive to attend the Olympics, and reported household income. </w:t>
      </w:r>
      <w:r w:rsidR="007E5611">
        <w:rPr>
          <w:rFonts w:ascii="Times New Roman" w:hAnsi="Times New Roman" w:cs="Times New Roman"/>
          <w:sz w:val="24"/>
          <w:szCs w:val="24"/>
        </w:rPr>
        <w:t>Thirty-nine percent of our sample report</w:t>
      </w:r>
      <w:r w:rsidR="00032383">
        <w:rPr>
          <w:rFonts w:ascii="Times New Roman" w:hAnsi="Times New Roman" w:cs="Times New Roman"/>
          <w:sz w:val="24"/>
          <w:szCs w:val="24"/>
        </w:rPr>
        <w:t xml:space="preserve">ed a willingness to pay of zero. </w:t>
      </w:r>
      <w:r w:rsidR="007E5611">
        <w:rPr>
          <w:rFonts w:ascii="Times New Roman" w:hAnsi="Times New Roman" w:cs="Times New Roman"/>
          <w:sz w:val="24"/>
          <w:szCs w:val="24"/>
        </w:rPr>
        <w:t xml:space="preserve"> By contrast, Wicker, et al (201</w:t>
      </w:r>
      <w:r w:rsidR="00AF5310">
        <w:rPr>
          <w:rFonts w:ascii="Times New Roman" w:hAnsi="Times New Roman" w:cs="Times New Roman"/>
          <w:sz w:val="24"/>
          <w:szCs w:val="24"/>
        </w:rPr>
        <w:t>2</w:t>
      </w:r>
      <w:r w:rsidR="007E5611">
        <w:rPr>
          <w:rFonts w:ascii="Times New Roman" w:hAnsi="Times New Roman" w:cs="Times New Roman"/>
          <w:sz w:val="24"/>
          <w:szCs w:val="24"/>
        </w:rPr>
        <w:t xml:space="preserve">) </w:t>
      </w:r>
      <w:r w:rsidR="00B95BDD">
        <w:rPr>
          <w:rFonts w:ascii="Times New Roman" w:hAnsi="Times New Roman" w:cs="Times New Roman"/>
          <w:sz w:val="24"/>
          <w:szCs w:val="24"/>
        </w:rPr>
        <w:t xml:space="preserve">surveyed randomly selected individuals via telephone about their </w:t>
      </w:r>
      <w:r w:rsidR="007E5611">
        <w:rPr>
          <w:rFonts w:ascii="Times New Roman" w:hAnsi="Times New Roman" w:cs="Times New Roman"/>
          <w:sz w:val="24"/>
          <w:szCs w:val="24"/>
        </w:rPr>
        <w:t>willingness to pay for Germany to win the most gold medals at the Olympics</w:t>
      </w:r>
      <w:r w:rsidR="00B95BDD">
        <w:rPr>
          <w:rFonts w:ascii="Times New Roman" w:hAnsi="Times New Roman" w:cs="Times New Roman"/>
          <w:sz w:val="24"/>
          <w:szCs w:val="24"/>
        </w:rPr>
        <w:t>;</w:t>
      </w:r>
      <w:r w:rsidR="007E5611">
        <w:rPr>
          <w:rFonts w:ascii="Times New Roman" w:hAnsi="Times New Roman" w:cs="Times New Roman"/>
          <w:sz w:val="24"/>
          <w:szCs w:val="24"/>
        </w:rPr>
        <w:t xml:space="preserve"> 63.4%</w:t>
      </w:r>
      <w:r w:rsidR="00B95BDD">
        <w:rPr>
          <w:rFonts w:ascii="Times New Roman" w:hAnsi="Times New Roman" w:cs="Times New Roman"/>
          <w:sz w:val="24"/>
          <w:szCs w:val="24"/>
        </w:rPr>
        <w:t xml:space="preserve"> reported a value of zero. Using online surveys conducted by </w:t>
      </w:r>
      <w:r w:rsidR="00B95BDD" w:rsidRPr="00B95BDD">
        <w:rPr>
          <w:rFonts w:ascii="Times New Roman" w:hAnsi="Times New Roman" w:cs="Times New Roman"/>
          <w:i/>
          <w:sz w:val="24"/>
          <w:szCs w:val="24"/>
        </w:rPr>
        <w:t>TNS Enmid</w:t>
      </w:r>
      <w:r w:rsidR="00B95BDD">
        <w:rPr>
          <w:rFonts w:ascii="Times New Roman" w:hAnsi="Times New Roman" w:cs="Times New Roman"/>
          <w:sz w:val="24"/>
          <w:szCs w:val="24"/>
        </w:rPr>
        <w:t xml:space="preserve">, one of Germany’s leading survey research institutes, </w:t>
      </w:r>
      <w:r w:rsidR="00707EA0">
        <w:rPr>
          <w:rFonts w:ascii="Times New Roman" w:hAnsi="Times New Roman" w:cs="Times New Roman"/>
          <w:sz w:val="24"/>
          <w:szCs w:val="24"/>
        </w:rPr>
        <w:t xml:space="preserve">Sussmuth, Heyne, and Maennig (2010) </w:t>
      </w:r>
      <w:r w:rsidR="00B95BDD">
        <w:rPr>
          <w:rFonts w:ascii="Times New Roman" w:hAnsi="Times New Roman" w:cs="Times New Roman"/>
          <w:sz w:val="24"/>
          <w:szCs w:val="24"/>
        </w:rPr>
        <w:t>obtained</w:t>
      </w:r>
      <w:r w:rsidR="00707EA0">
        <w:rPr>
          <w:rFonts w:ascii="Times New Roman" w:hAnsi="Times New Roman" w:cs="Times New Roman"/>
          <w:sz w:val="24"/>
          <w:szCs w:val="24"/>
        </w:rPr>
        <w:t xml:space="preserve"> a value of zero </w:t>
      </w:r>
      <w:r w:rsidR="00AF5310">
        <w:rPr>
          <w:rFonts w:ascii="Times New Roman" w:hAnsi="Times New Roman" w:cs="Times New Roman"/>
          <w:sz w:val="24"/>
          <w:szCs w:val="24"/>
        </w:rPr>
        <w:t>as</w:t>
      </w:r>
      <w:r w:rsidR="00707EA0">
        <w:rPr>
          <w:rFonts w:ascii="Times New Roman" w:hAnsi="Times New Roman" w:cs="Times New Roman"/>
          <w:sz w:val="24"/>
          <w:szCs w:val="24"/>
        </w:rPr>
        <w:t xml:space="preserve"> the median willingness to pay of Germans to host the 2006 FIFA World Cup</w:t>
      </w:r>
      <w:r w:rsidR="007E5611">
        <w:rPr>
          <w:rFonts w:ascii="Times New Roman" w:hAnsi="Times New Roman" w:cs="Times New Roman"/>
          <w:sz w:val="24"/>
          <w:szCs w:val="24"/>
        </w:rPr>
        <w:t xml:space="preserve">. </w:t>
      </w:r>
      <w:r w:rsidR="00707EA0">
        <w:rPr>
          <w:rFonts w:ascii="Times New Roman" w:hAnsi="Times New Roman" w:cs="Times New Roman"/>
          <w:sz w:val="24"/>
          <w:szCs w:val="24"/>
        </w:rPr>
        <w:t xml:space="preserve"> Our much smaller </w:t>
      </w:r>
      <w:r w:rsidR="00B95BDD">
        <w:rPr>
          <w:rFonts w:ascii="Times New Roman" w:hAnsi="Times New Roman" w:cs="Times New Roman"/>
          <w:sz w:val="24"/>
          <w:szCs w:val="24"/>
        </w:rPr>
        <w:t>proportion o</w:t>
      </w:r>
      <w:r w:rsidR="00707EA0">
        <w:rPr>
          <w:rFonts w:ascii="Times New Roman" w:hAnsi="Times New Roman" w:cs="Times New Roman"/>
          <w:sz w:val="24"/>
          <w:szCs w:val="24"/>
        </w:rPr>
        <w:t xml:space="preserve">f zero </w:t>
      </w:r>
      <w:r w:rsidR="00B95BDD">
        <w:rPr>
          <w:rFonts w:ascii="Times New Roman" w:hAnsi="Times New Roman" w:cs="Times New Roman"/>
          <w:sz w:val="24"/>
          <w:szCs w:val="24"/>
        </w:rPr>
        <w:t xml:space="preserve">responses to the </w:t>
      </w:r>
      <w:r w:rsidR="00707EA0">
        <w:rPr>
          <w:rFonts w:ascii="Times New Roman" w:hAnsi="Times New Roman" w:cs="Times New Roman"/>
          <w:sz w:val="24"/>
          <w:szCs w:val="24"/>
        </w:rPr>
        <w:t>willingness to pay</w:t>
      </w:r>
      <w:r w:rsidR="00B95BDD">
        <w:rPr>
          <w:rFonts w:ascii="Times New Roman" w:hAnsi="Times New Roman" w:cs="Times New Roman"/>
          <w:sz w:val="24"/>
          <w:szCs w:val="24"/>
        </w:rPr>
        <w:t xml:space="preserve"> question</w:t>
      </w:r>
      <w:r w:rsidR="00707EA0">
        <w:rPr>
          <w:rFonts w:ascii="Times New Roman" w:hAnsi="Times New Roman" w:cs="Times New Roman"/>
          <w:sz w:val="24"/>
          <w:szCs w:val="24"/>
        </w:rPr>
        <w:t xml:space="preserve"> may be because of the nature of the questions or </w:t>
      </w:r>
      <w:r w:rsidR="00B95BDD">
        <w:rPr>
          <w:rFonts w:ascii="Times New Roman" w:hAnsi="Times New Roman" w:cs="Times New Roman"/>
          <w:sz w:val="24"/>
          <w:szCs w:val="24"/>
        </w:rPr>
        <w:t xml:space="preserve">may </w:t>
      </w:r>
      <w:r w:rsidR="00707EA0">
        <w:rPr>
          <w:rFonts w:ascii="Times New Roman" w:hAnsi="Times New Roman" w:cs="Times New Roman"/>
          <w:sz w:val="24"/>
          <w:szCs w:val="24"/>
        </w:rPr>
        <w:t>indicate a bias in our sample toward large reported willingness to pay.</w:t>
      </w:r>
      <w:r w:rsidR="007E5611">
        <w:rPr>
          <w:rFonts w:ascii="Times New Roman" w:hAnsi="Times New Roman" w:cs="Times New Roman"/>
          <w:sz w:val="24"/>
          <w:szCs w:val="24"/>
        </w:rPr>
        <w:t xml:space="preserve"> </w:t>
      </w:r>
      <w:r w:rsidR="00707EA0">
        <w:rPr>
          <w:rFonts w:ascii="Times New Roman" w:hAnsi="Times New Roman" w:cs="Times New Roman"/>
          <w:sz w:val="24"/>
          <w:szCs w:val="24"/>
        </w:rPr>
        <w:t xml:space="preserve">For example, it may be that 10 cents was sufficient compensation for completing the survey for individuals with greater than average willingness to pay to host the Olympics but </w:t>
      </w:r>
      <w:r w:rsidR="00E635A5">
        <w:rPr>
          <w:rFonts w:ascii="Times New Roman" w:hAnsi="Times New Roman" w:cs="Times New Roman"/>
          <w:sz w:val="24"/>
          <w:szCs w:val="24"/>
        </w:rPr>
        <w:t>ins</w:t>
      </w:r>
      <w:r w:rsidR="00707EA0">
        <w:rPr>
          <w:rFonts w:ascii="Times New Roman" w:hAnsi="Times New Roman" w:cs="Times New Roman"/>
          <w:sz w:val="24"/>
          <w:szCs w:val="24"/>
        </w:rPr>
        <w:t>ufficient to entice those wi</w:t>
      </w:r>
      <w:r w:rsidR="00E635A5">
        <w:rPr>
          <w:rFonts w:ascii="Times New Roman" w:hAnsi="Times New Roman" w:cs="Times New Roman"/>
          <w:sz w:val="24"/>
          <w:szCs w:val="24"/>
        </w:rPr>
        <w:t xml:space="preserve">th smaller than </w:t>
      </w:r>
      <w:r w:rsidR="00E635A5">
        <w:rPr>
          <w:rFonts w:ascii="Times New Roman" w:hAnsi="Times New Roman" w:cs="Times New Roman"/>
          <w:sz w:val="24"/>
          <w:szCs w:val="24"/>
        </w:rPr>
        <w:lastRenderedPageBreak/>
        <w:t xml:space="preserve">average willingness to pay.  </w:t>
      </w:r>
      <w:r w:rsidR="00764A5A">
        <w:rPr>
          <w:rFonts w:ascii="Times New Roman" w:hAnsi="Times New Roman" w:cs="Times New Roman"/>
          <w:sz w:val="24"/>
          <w:szCs w:val="24"/>
        </w:rPr>
        <w:t xml:space="preserve">For this reason, it is best to consider the reported willingness to pay here as an upper bound to the true willingness to pay.  </w:t>
      </w:r>
    </w:p>
    <w:p w:rsidR="00340656" w:rsidRDefault="00340656" w:rsidP="00764A5A">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Analysis is done using these variables in their discrete form as well as in versions of them made continuous.  The variables were made continuous by using the midpoint of the reported range except when the respondent indicated the top coded value.  For example, the highest income option in the survey is more than $100,000</w:t>
      </w:r>
      <w:r w:rsidR="006B2AEE">
        <w:rPr>
          <w:rFonts w:ascii="Times New Roman" w:hAnsi="Times New Roman" w:cs="Times New Roman"/>
          <w:sz w:val="24"/>
          <w:szCs w:val="24"/>
        </w:rPr>
        <w:t>, selected by 8.82% of those surveyed</w:t>
      </w:r>
      <w:r>
        <w:rPr>
          <w:rFonts w:ascii="Times New Roman" w:hAnsi="Times New Roman" w:cs="Times New Roman"/>
          <w:sz w:val="24"/>
          <w:szCs w:val="24"/>
        </w:rPr>
        <w:t>.  For these observations, reported income was set to $120,000.  Likewise, for willingness to spend the top code</w:t>
      </w:r>
      <w:r w:rsidR="006B2AEE">
        <w:rPr>
          <w:rFonts w:ascii="Times New Roman" w:hAnsi="Times New Roman" w:cs="Times New Roman"/>
          <w:sz w:val="24"/>
          <w:szCs w:val="24"/>
        </w:rPr>
        <w:t xml:space="preserve">, reported by 1.92% of the respondents, </w:t>
      </w:r>
      <w:r>
        <w:rPr>
          <w:rFonts w:ascii="Times New Roman" w:hAnsi="Times New Roman" w:cs="Times New Roman"/>
          <w:sz w:val="24"/>
          <w:szCs w:val="24"/>
        </w:rPr>
        <w:t>was more than $1000</w:t>
      </w:r>
      <w:r w:rsidR="006B2AEE">
        <w:rPr>
          <w:rFonts w:ascii="Times New Roman" w:hAnsi="Times New Roman" w:cs="Times New Roman"/>
          <w:sz w:val="24"/>
          <w:szCs w:val="24"/>
        </w:rPr>
        <w:t>.  In the continuous version of willingness to spend, the top value was set to $1100</w:t>
      </w:r>
      <w:r>
        <w:rPr>
          <w:rFonts w:ascii="Times New Roman" w:hAnsi="Times New Roman" w:cs="Times New Roman"/>
          <w:sz w:val="24"/>
          <w:szCs w:val="24"/>
        </w:rPr>
        <w:t xml:space="preserve">.  </w:t>
      </w:r>
      <w:r w:rsidR="006B2AEE">
        <w:rPr>
          <w:rFonts w:ascii="Times New Roman" w:hAnsi="Times New Roman" w:cs="Times New Roman"/>
          <w:sz w:val="24"/>
          <w:szCs w:val="24"/>
        </w:rPr>
        <w:t>At the other extreme, 39% of the respondents stated that they were unwilling to pay anything to bring the Olympics to the United States.</w:t>
      </w:r>
      <w:r w:rsidR="00C66440">
        <w:rPr>
          <w:rStyle w:val="a6"/>
          <w:rFonts w:ascii="Times New Roman" w:hAnsi="Times New Roman" w:cs="Times New Roman"/>
          <w:sz w:val="24"/>
          <w:szCs w:val="24"/>
        </w:rPr>
        <w:footnoteReference w:id="2"/>
      </w:r>
      <w:r w:rsidR="006B2AEE">
        <w:rPr>
          <w:rStyle w:val="a6"/>
          <w:rFonts w:ascii="Times New Roman" w:hAnsi="Times New Roman" w:cs="Times New Roman"/>
          <w:sz w:val="24"/>
          <w:szCs w:val="24"/>
        </w:rPr>
        <w:footnoteReference w:id="3"/>
      </w:r>
      <w:r w:rsidR="006B2AEE">
        <w:rPr>
          <w:rFonts w:ascii="Times New Roman" w:hAnsi="Times New Roman" w:cs="Times New Roman"/>
          <w:sz w:val="24"/>
          <w:szCs w:val="24"/>
        </w:rPr>
        <w:t xml:space="preserve">  Just over 7% of the sample indicated t</w:t>
      </w:r>
      <w:r>
        <w:rPr>
          <w:rFonts w:ascii="Times New Roman" w:hAnsi="Times New Roman" w:cs="Times New Roman"/>
          <w:sz w:val="24"/>
          <w:szCs w:val="24"/>
        </w:rPr>
        <w:t>he maximum driving time</w:t>
      </w:r>
      <w:r w:rsidR="006B2AEE">
        <w:rPr>
          <w:rFonts w:ascii="Times New Roman" w:hAnsi="Times New Roman" w:cs="Times New Roman"/>
          <w:sz w:val="24"/>
          <w:szCs w:val="24"/>
        </w:rPr>
        <w:t>,</w:t>
      </w:r>
      <w:r>
        <w:rPr>
          <w:rFonts w:ascii="Times New Roman" w:hAnsi="Times New Roman" w:cs="Times New Roman"/>
          <w:sz w:val="24"/>
          <w:szCs w:val="24"/>
        </w:rPr>
        <w:t xml:space="preserve"> top-coded at 24 hours or more</w:t>
      </w:r>
      <w:r w:rsidR="006B2AEE">
        <w:rPr>
          <w:rFonts w:ascii="Times New Roman" w:hAnsi="Times New Roman" w:cs="Times New Roman"/>
          <w:sz w:val="24"/>
          <w:szCs w:val="24"/>
        </w:rPr>
        <w:t xml:space="preserve">; for the continuous variable the value </w:t>
      </w:r>
      <w:r>
        <w:rPr>
          <w:rFonts w:ascii="Times New Roman" w:hAnsi="Times New Roman" w:cs="Times New Roman"/>
          <w:sz w:val="24"/>
          <w:szCs w:val="24"/>
        </w:rPr>
        <w:t xml:space="preserve">was set to 30 hours.  </w:t>
      </w:r>
    </w:p>
    <w:p w:rsidR="005879E7" w:rsidRDefault="00465F1A" w:rsidP="005D291B">
      <w:pPr>
        <w:spacing w:line="480" w:lineRule="auto"/>
        <w:rPr>
          <w:rFonts w:ascii="Times New Roman" w:hAnsi="Times New Roman" w:cs="Times New Roman"/>
          <w:sz w:val="24"/>
          <w:szCs w:val="24"/>
        </w:rPr>
      </w:pPr>
      <w:r>
        <w:rPr>
          <w:rFonts w:ascii="Times New Roman" w:hAnsi="Times New Roman" w:cs="Times New Roman"/>
          <w:sz w:val="24"/>
          <w:szCs w:val="24"/>
        </w:rPr>
        <w:tab/>
        <w:t>Table 6</w:t>
      </w:r>
      <w:r w:rsidR="005879E7">
        <w:rPr>
          <w:rFonts w:ascii="Times New Roman" w:hAnsi="Times New Roman" w:cs="Times New Roman"/>
          <w:sz w:val="24"/>
          <w:szCs w:val="24"/>
        </w:rPr>
        <w:t xml:space="preserve"> </w:t>
      </w:r>
      <w:r w:rsidR="00A20FFF">
        <w:rPr>
          <w:rFonts w:ascii="Times New Roman" w:hAnsi="Times New Roman" w:cs="Times New Roman"/>
          <w:sz w:val="24"/>
          <w:szCs w:val="24"/>
        </w:rPr>
        <w:t>shows</w:t>
      </w:r>
      <w:r w:rsidR="005879E7">
        <w:rPr>
          <w:rFonts w:ascii="Times New Roman" w:hAnsi="Times New Roman" w:cs="Times New Roman"/>
          <w:sz w:val="24"/>
          <w:szCs w:val="24"/>
        </w:rPr>
        <w:t xml:space="preserve"> the distribution of destination choices</w:t>
      </w:r>
      <w:r w:rsidR="006B2AEE">
        <w:rPr>
          <w:rFonts w:ascii="Times New Roman" w:hAnsi="Times New Roman" w:cs="Times New Roman"/>
          <w:sz w:val="24"/>
          <w:szCs w:val="24"/>
        </w:rPr>
        <w:t xml:space="preserve"> among the four possibilities allowed in the survey. </w:t>
      </w:r>
      <w:r w:rsidR="001D4543">
        <w:rPr>
          <w:rFonts w:ascii="Times New Roman" w:hAnsi="Times New Roman" w:cs="Times New Roman"/>
          <w:sz w:val="24"/>
          <w:szCs w:val="24"/>
        </w:rPr>
        <w:t xml:space="preserve">Note that the Summer Olympics is an event without a destination.  For this option to be selected, the respondent is indicating that the Summer Olympics is a more attractive destination </w:t>
      </w:r>
      <w:r w:rsidR="006B2AEE">
        <w:rPr>
          <w:rFonts w:ascii="Times New Roman" w:hAnsi="Times New Roman" w:cs="Times New Roman"/>
          <w:sz w:val="24"/>
          <w:szCs w:val="24"/>
        </w:rPr>
        <w:t xml:space="preserve">than are Disneyland, Las Vegas, or the nation’s capital, </w:t>
      </w:r>
      <w:r w:rsidR="001D4543">
        <w:rPr>
          <w:rFonts w:ascii="Times New Roman" w:hAnsi="Times New Roman" w:cs="Times New Roman"/>
          <w:sz w:val="24"/>
          <w:szCs w:val="24"/>
        </w:rPr>
        <w:t xml:space="preserve">no matter where in the country it is held.  One explanation for this response is that the Summer Olympics is only held once every four years, and has been in the United States only twice in the last thirty years.  Having the Games on American soil is not quite a once-in-a-lifetime event, but it is certainly a </w:t>
      </w:r>
      <w:r w:rsidR="001D4543">
        <w:rPr>
          <w:rFonts w:ascii="Times New Roman" w:hAnsi="Times New Roman" w:cs="Times New Roman"/>
          <w:sz w:val="24"/>
          <w:szCs w:val="24"/>
        </w:rPr>
        <w:lastRenderedPageBreak/>
        <w:t>once in a generation occurrence.</w:t>
      </w:r>
      <w:r w:rsidR="00514B14">
        <w:rPr>
          <w:rFonts w:ascii="Times New Roman" w:hAnsi="Times New Roman" w:cs="Times New Roman"/>
          <w:sz w:val="24"/>
          <w:szCs w:val="24"/>
        </w:rPr>
        <w:t xml:space="preserve"> </w:t>
      </w:r>
      <w:r w:rsidR="006B2AEE">
        <w:rPr>
          <w:rFonts w:ascii="Times New Roman" w:hAnsi="Times New Roman" w:cs="Times New Roman"/>
          <w:sz w:val="24"/>
          <w:szCs w:val="24"/>
        </w:rPr>
        <w:t>This rarity may make an undetermined Summer Olympic location more interesting for many people than plac</w:t>
      </w:r>
      <w:r w:rsidR="00CF78F3">
        <w:rPr>
          <w:rFonts w:ascii="Times New Roman" w:hAnsi="Times New Roman" w:cs="Times New Roman"/>
          <w:sz w:val="24"/>
          <w:szCs w:val="24"/>
        </w:rPr>
        <w:t>es that are available any time.</w:t>
      </w:r>
      <w:r w:rsidR="00514B14">
        <w:rPr>
          <w:rFonts w:ascii="Times New Roman" w:hAnsi="Times New Roman" w:cs="Times New Roman"/>
          <w:sz w:val="24"/>
          <w:szCs w:val="24"/>
        </w:rPr>
        <w:t xml:space="preserve"> It is also interesting that so few people, only about 16% of the sample, selected Washington, D.C. as their destination of choice.  Both “playground” destinations, Disneyland and Las Vegas, were the choice of about 30% of the respondents, nearly double the percentage of respondents choosing the myriad </w:t>
      </w:r>
      <w:r w:rsidR="004D767E">
        <w:rPr>
          <w:rFonts w:ascii="Times New Roman" w:hAnsi="Times New Roman" w:cs="Times New Roman"/>
          <w:sz w:val="24"/>
          <w:szCs w:val="24"/>
        </w:rPr>
        <w:t xml:space="preserve">of </w:t>
      </w:r>
      <w:r w:rsidR="00514B14">
        <w:rPr>
          <w:rFonts w:ascii="Times New Roman" w:hAnsi="Times New Roman" w:cs="Times New Roman"/>
          <w:sz w:val="24"/>
          <w:szCs w:val="24"/>
        </w:rPr>
        <w:t xml:space="preserve">historical, educational and cultural treasures available in Washington. </w:t>
      </w:r>
    </w:p>
    <w:p w:rsidR="00CF78F3" w:rsidRDefault="00CF78F3" w:rsidP="00340656">
      <w:pPr>
        <w:spacing w:line="480" w:lineRule="auto"/>
        <w:rPr>
          <w:rFonts w:ascii="Times New Roman" w:hAnsi="Times New Roman" w:cs="Times New Roman"/>
          <w:sz w:val="24"/>
          <w:szCs w:val="24"/>
        </w:rPr>
      </w:pPr>
    </w:p>
    <w:p w:rsidR="00340656" w:rsidRDefault="00CF78F3" w:rsidP="00340656">
      <w:pPr>
        <w:spacing w:line="480" w:lineRule="auto"/>
        <w:rPr>
          <w:rFonts w:ascii="Times New Roman" w:hAnsi="Times New Roman" w:cs="Times New Roman"/>
          <w:sz w:val="24"/>
          <w:szCs w:val="24"/>
        </w:rPr>
      </w:pPr>
      <w:r>
        <w:rPr>
          <w:rFonts w:ascii="Times New Roman" w:hAnsi="Times New Roman" w:cs="Times New Roman"/>
          <w:sz w:val="24"/>
          <w:szCs w:val="24"/>
        </w:rPr>
        <w:t xml:space="preserve">Modelling </w:t>
      </w:r>
      <w:r w:rsidR="00340656">
        <w:rPr>
          <w:rFonts w:ascii="Times New Roman" w:hAnsi="Times New Roman" w:cs="Times New Roman"/>
          <w:sz w:val="24"/>
          <w:szCs w:val="24"/>
        </w:rPr>
        <w:t>Willingness to Pay</w:t>
      </w:r>
      <w:r w:rsidR="00355E9C">
        <w:rPr>
          <w:rFonts w:ascii="Times New Roman" w:hAnsi="Times New Roman" w:cs="Times New Roman"/>
          <w:sz w:val="24"/>
          <w:szCs w:val="24"/>
        </w:rPr>
        <w:t xml:space="preserve"> and Willingness to Travel</w:t>
      </w:r>
    </w:p>
    <w:p w:rsidR="00340656" w:rsidRDefault="00340656" w:rsidP="00340656">
      <w:pPr>
        <w:spacing w:line="480" w:lineRule="auto"/>
        <w:rPr>
          <w:rFonts w:ascii="Times New Roman" w:hAnsi="Times New Roman" w:cs="Times New Roman"/>
          <w:sz w:val="24"/>
          <w:szCs w:val="24"/>
        </w:rPr>
      </w:pPr>
      <w:r>
        <w:rPr>
          <w:rFonts w:ascii="Times New Roman" w:hAnsi="Times New Roman" w:cs="Times New Roman"/>
          <w:sz w:val="24"/>
          <w:szCs w:val="24"/>
        </w:rPr>
        <w:tab/>
        <w:t>Formalizing the model of willingness to pay to host the Olympics, the individual consumer has an expenditure function E(y, p, u, h), where y is household income, p is a vector of prices, u is the individual’s level of utility, and</w:t>
      </w:r>
      <w:r w:rsidRPr="00FE0042">
        <w:rPr>
          <w:rFonts w:ascii="Times New Roman" w:hAnsi="Times New Roman" w:cs="Times New Roman"/>
          <w:sz w:val="24"/>
          <w:szCs w:val="24"/>
        </w:rPr>
        <w:t xml:space="preserve"> </w:t>
      </w:r>
      <w:r>
        <w:rPr>
          <w:rFonts w:ascii="Times New Roman" w:hAnsi="Times New Roman" w:cs="Times New Roman"/>
          <w:sz w:val="24"/>
          <w:szCs w:val="24"/>
        </w:rPr>
        <w:t>h is an indicator variable equal to 1 if the country hosts the Olympics and 0 otherwise.  This expenditure function has the normal properties of an expenditure function. (Deaton and Muellbauer, 1980)  The consumer i’s willingness to pay to host the Olympics is given by the difference in the expenditure function values when h=1 and h=0, while y, p and u are all unchanged:</w:t>
      </w:r>
    </w:p>
    <w:p w:rsidR="00340656" w:rsidRPr="00FE0042" w:rsidRDefault="00BE0EFC" w:rsidP="00340656">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,h=</m:t>
              </m:r>
              <m:r>
                <w:rPr>
                  <w:rFonts w:ascii="Cambria Math" w:hAnsi="Cambria Math" w:cs="Times New Roman"/>
                  <w:sz w:val="24"/>
                  <w:szCs w:val="24"/>
                </w:rPr>
                <m:t>0</m:t>
              </m:r>
            </m:e>
          </m:d>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,h=</m:t>
              </m:r>
              <m:r>
                <w:rPr>
                  <w:rFonts w:ascii="Cambria Math" w:hAnsi="Cambria Math" w:cs="Times New Roman"/>
                  <w:sz w:val="24"/>
                  <w:szCs w:val="24"/>
                </w:rPr>
                <m:t>1</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,h=</m:t>
              </m:r>
              <m:r>
                <w:rPr>
                  <w:rFonts w:ascii="Cambria Math" w:hAnsi="Cambria Math" w:cs="Times New Roman"/>
                  <w:sz w:val="24"/>
                  <w:szCs w:val="24"/>
                </w:rPr>
                <m:t>1</m:t>
              </m:r>
            </m:e>
          </m:d>
        </m:oMath>
      </m:oMathPara>
    </w:p>
    <w:p w:rsidR="00340656" w:rsidRPr="00355E9C" w:rsidRDefault="00340656" w:rsidP="00340656">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formulation shows that an individual’s willingness to pay is a function of their income, prices of the goods and services they buy, including the taxes they pay for public services, and their preferences.  </w:t>
      </w:r>
      <w:r w:rsidR="00355E9C">
        <w:rPr>
          <w:rFonts w:ascii="Times New Roman" w:hAnsi="Times New Roman" w:cs="Times New Roman"/>
          <w:sz w:val="24"/>
          <w:szCs w:val="24"/>
        </w:rPr>
        <w:t xml:space="preserve">It is important to note that willingness to pay may be negative if, for example, the individual detests the idea of hosting the Olympics.  For such a person, to achieve the same utility with hosting the Games as without, he or she will have to purchase more of other goods and services than previously.  Of course, the only way to do this would be with compensation, a </w:t>
      </w:r>
      <w:r w:rsidR="00355E9C">
        <w:rPr>
          <w:rFonts w:ascii="Times New Roman" w:hAnsi="Times New Roman" w:cs="Times New Roman"/>
          <w:sz w:val="24"/>
          <w:szCs w:val="24"/>
        </w:rPr>
        <w:lastRenderedPageBreak/>
        <w:t>negative willingness to pay.  For this individual, w</w:t>
      </w:r>
      <w:r w:rsidR="00355E9C">
        <w:rPr>
          <w:rFonts w:ascii="Times New Roman" w:hAnsi="Times New Roman" w:cs="Times New Roman"/>
          <w:sz w:val="24"/>
          <w:szCs w:val="24"/>
          <w:vertAlign w:val="subscript"/>
        </w:rPr>
        <w:t>i</w:t>
      </w:r>
      <w:r w:rsidR="00355E9C">
        <w:rPr>
          <w:rFonts w:ascii="Times New Roman" w:hAnsi="Times New Roman" w:cs="Times New Roman"/>
          <w:sz w:val="24"/>
          <w:szCs w:val="24"/>
        </w:rPr>
        <w:t xml:space="preserve"> is the willingness to accept.  This is important to keep in mind because the survey did not allow respondents to report a negative willingness to pay.</w:t>
      </w:r>
    </w:p>
    <w:p w:rsidR="00CF78F3" w:rsidRDefault="00CF78F3" w:rsidP="00340656">
      <w:pPr>
        <w:spacing w:line="480" w:lineRule="auto"/>
        <w:rPr>
          <w:rFonts w:ascii="Times New Roman" w:hAnsi="Times New Roman" w:cs="Times New Roman"/>
          <w:sz w:val="24"/>
          <w:szCs w:val="24"/>
        </w:rPr>
      </w:pPr>
      <w:r>
        <w:rPr>
          <w:rFonts w:ascii="Times New Roman" w:hAnsi="Times New Roman" w:cs="Times New Roman"/>
          <w:sz w:val="24"/>
          <w:szCs w:val="24"/>
        </w:rPr>
        <w:tab/>
        <w:t>Linearizing the model and introducing a stochastic term produces an estimable equation:</w:t>
      </w:r>
    </w:p>
    <w:p w:rsidR="00CF78F3" w:rsidRDefault="00BE0EFC" w:rsidP="00340656">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 α+</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(1)</m:t>
          </m:r>
        </m:oMath>
      </m:oMathPara>
    </w:p>
    <w:p w:rsidR="008660DC" w:rsidRPr="00BA3060" w:rsidRDefault="00CF78F3" w:rsidP="00BA3060">
      <w:pPr>
        <w:spacing w:line="480" w:lineRule="auto"/>
        <w:rPr>
          <w:rFonts w:ascii="Times New Roman" w:hAnsi="Times New Roman" w:cs="Times New Roman"/>
          <w:sz w:val="24"/>
          <w:szCs w:val="24"/>
        </w:rPr>
      </w:pPr>
      <w:r>
        <w:rPr>
          <w:rFonts w:ascii="Times New Roman" w:hAnsi="Times New Roman" w:cs="Times New Roman"/>
          <w:sz w:val="24"/>
          <w:szCs w:val="24"/>
        </w:rPr>
        <w:t>Where α and the β</w:t>
      </w:r>
      <w:r>
        <w:rPr>
          <w:rFonts w:ascii="Times New Roman" w:hAnsi="Times New Roman" w:cs="Times New Roman"/>
          <w:sz w:val="24"/>
          <w:szCs w:val="24"/>
          <w:vertAlign w:val="subscript"/>
        </w:rPr>
        <w:t>j</w:t>
      </w:r>
      <w:r>
        <w:rPr>
          <w:rFonts w:ascii="Times New Roman" w:hAnsi="Times New Roman" w:cs="Times New Roman"/>
          <w:sz w:val="24"/>
          <w:szCs w:val="24"/>
        </w:rPr>
        <w:t xml:space="preserve"> are parameters to be estimated, x</w:t>
      </w:r>
      <w:r>
        <w:rPr>
          <w:rFonts w:ascii="Times New Roman" w:hAnsi="Times New Roman" w:cs="Times New Roman"/>
          <w:sz w:val="24"/>
          <w:szCs w:val="24"/>
          <w:vertAlign w:val="subscript"/>
        </w:rPr>
        <w:t>ij</w:t>
      </w:r>
      <w:r>
        <w:rPr>
          <w:rFonts w:ascii="Times New Roman" w:hAnsi="Times New Roman" w:cs="Times New Roman"/>
          <w:sz w:val="24"/>
          <w:szCs w:val="24"/>
        </w:rPr>
        <w:t xml:space="preserve"> correspond to the income, prices, and consumer preferences in the expenditure and indirect utility functions, and ε</w:t>
      </w:r>
      <w:r>
        <w:rPr>
          <w:rFonts w:ascii="Times New Roman" w:hAnsi="Times New Roman" w:cs="Times New Roman"/>
          <w:sz w:val="24"/>
          <w:szCs w:val="24"/>
          <w:vertAlign w:val="subscript"/>
        </w:rPr>
        <w:t xml:space="preserve">i </w:t>
      </w:r>
      <w:r>
        <w:rPr>
          <w:rFonts w:ascii="Times New Roman" w:hAnsi="Times New Roman" w:cs="Times New Roman"/>
          <w:sz w:val="24"/>
          <w:szCs w:val="24"/>
        </w:rPr>
        <w:t>is an identically and independently distributed random variable with mean 0 and constant variance.</w:t>
      </w:r>
      <w:r w:rsidR="002F58E4">
        <w:rPr>
          <w:rFonts w:ascii="Times New Roman" w:hAnsi="Times New Roman" w:cs="Times New Roman"/>
          <w:sz w:val="24"/>
          <w:szCs w:val="24"/>
        </w:rPr>
        <w:t xml:space="preserve">  The β</w:t>
      </w:r>
      <w:r w:rsidR="002F58E4">
        <w:rPr>
          <w:rFonts w:ascii="Times New Roman" w:hAnsi="Times New Roman" w:cs="Times New Roman"/>
          <w:sz w:val="24"/>
          <w:szCs w:val="24"/>
          <w:vertAlign w:val="subscript"/>
        </w:rPr>
        <w:t>j</w:t>
      </w:r>
      <w:r w:rsidR="002F58E4">
        <w:rPr>
          <w:rFonts w:ascii="Times New Roman" w:hAnsi="Times New Roman" w:cs="Times New Roman"/>
          <w:sz w:val="24"/>
          <w:szCs w:val="24"/>
        </w:rPr>
        <w:t xml:space="preserve"> in this equation are the marginal willingness to pay to host the Summer Olympics of a change in variable x.</w:t>
      </w:r>
      <w:r w:rsidR="002F58E4">
        <w:rPr>
          <w:rFonts w:ascii="Times New Roman" w:hAnsi="Times New Roman" w:cs="Times New Roman"/>
          <w:sz w:val="24"/>
          <w:szCs w:val="24"/>
          <w:vertAlign w:val="subscript"/>
        </w:rPr>
        <w:t>j</w:t>
      </w:r>
      <w:r w:rsidR="002F58E4">
        <w:rPr>
          <w:rFonts w:ascii="Times New Roman" w:hAnsi="Times New Roman" w:cs="Times New Roman"/>
          <w:sz w:val="24"/>
          <w:szCs w:val="24"/>
        </w:rPr>
        <w:t>.</w:t>
      </w:r>
      <w:r w:rsidR="008660DC">
        <w:rPr>
          <w:rFonts w:ascii="Times New Roman" w:hAnsi="Times New Roman" w:cs="Times New Roman"/>
          <w:sz w:val="24"/>
          <w:szCs w:val="24"/>
        </w:rPr>
        <w:t xml:space="preserve"> That 37% of the reported values of w</w:t>
      </w:r>
      <w:r w:rsidR="008660DC">
        <w:rPr>
          <w:rFonts w:ascii="Times New Roman" w:hAnsi="Times New Roman" w:cs="Times New Roman"/>
          <w:sz w:val="24"/>
          <w:szCs w:val="24"/>
          <w:vertAlign w:val="subscript"/>
        </w:rPr>
        <w:t>i</w:t>
      </w:r>
      <w:r w:rsidR="008660DC">
        <w:rPr>
          <w:rFonts w:ascii="Times New Roman" w:hAnsi="Times New Roman" w:cs="Times New Roman"/>
          <w:sz w:val="24"/>
          <w:szCs w:val="24"/>
        </w:rPr>
        <w:t xml:space="preserve"> are zero suggests that a Tobit technique be used to estimate the model.  Our analysis includes both an OLS and a Tobit estimation of the willingness to spend equation.</w:t>
      </w:r>
    </w:p>
    <w:p w:rsidR="00BA3060" w:rsidRPr="00E4339D" w:rsidRDefault="008660DC" w:rsidP="00BA3060">
      <w:pPr>
        <w:spacing w:line="480" w:lineRule="auto"/>
        <w:ind w:firstLine="720"/>
        <w:rPr>
          <w:rFonts w:ascii="Times New Roman" w:hAnsi="Times New Roman" w:cs="Times New Roman"/>
          <w:sz w:val="24"/>
          <w:szCs w:val="24"/>
        </w:rPr>
      </w:pPr>
      <w:r w:rsidRPr="00BA3060">
        <w:rPr>
          <w:rFonts w:ascii="Times New Roman" w:hAnsi="Times New Roman" w:cs="Times New Roman"/>
          <w:sz w:val="24"/>
          <w:szCs w:val="24"/>
        </w:rPr>
        <w:t xml:space="preserve">The reliability of the estimates from equation (1) depend on the accuracy of the continuous representation of the true willingness to spend as reported in the discrete survey responses.  Fortunately, the ordered nature of the dependent variable allows estimation of an ordered probit or ordered logit model of reported willingness to pay.  </w:t>
      </w:r>
      <w:r w:rsidR="00BA3060" w:rsidRPr="00BA3060">
        <w:rPr>
          <w:rFonts w:ascii="Times New Roman" w:hAnsi="Times New Roman" w:cs="Times New Roman"/>
          <w:sz w:val="24"/>
          <w:szCs w:val="24"/>
        </w:rPr>
        <w:t xml:space="preserve">For this model, let willingness to pay be represented by equation (1) as before. </w:t>
      </w:r>
      <w:r w:rsidR="00BA3060">
        <w:rPr>
          <w:rFonts w:ascii="Times New Roman" w:hAnsi="Times New Roman" w:cs="Times New Roman"/>
          <w:sz w:val="24"/>
          <w:szCs w:val="24"/>
        </w:rPr>
        <w:t xml:space="preserve"> </w:t>
      </w:r>
      <w:r w:rsidR="00BA3060" w:rsidRPr="00BA3060">
        <w:rPr>
          <w:rFonts w:ascii="Times New Roman" w:hAnsi="Times New Roman" w:cs="Times New Roman"/>
          <w:sz w:val="24"/>
          <w:szCs w:val="24"/>
        </w:rPr>
        <w:t>However, this is the actual willingness to pay</w:t>
      </w:r>
      <w:r w:rsidR="00BA3060">
        <w:rPr>
          <w:rFonts w:ascii="Times New Roman" w:hAnsi="Times New Roman" w:cs="Times New Roman"/>
          <w:sz w:val="24"/>
          <w:szCs w:val="24"/>
        </w:rPr>
        <w:t xml:space="preserve"> and is unobserved, w</w:t>
      </w:r>
      <w:r w:rsidR="00BA3060">
        <w:rPr>
          <w:rFonts w:ascii="Times New Roman" w:hAnsi="Times New Roman" w:cs="Times New Roman"/>
          <w:sz w:val="24"/>
          <w:szCs w:val="24"/>
          <w:vertAlign w:val="subscript"/>
        </w:rPr>
        <w:t>i</w:t>
      </w:r>
      <w:r w:rsidR="00BA3060">
        <w:rPr>
          <w:rFonts w:ascii="Times New Roman" w:hAnsi="Times New Roman" w:cs="Times New Roman"/>
          <w:sz w:val="24"/>
          <w:szCs w:val="24"/>
          <w:vertAlign w:val="superscript"/>
        </w:rPr>
        <w:t>0</w:t>
      </w:r>
      <w:r w:rsidR="00BA3060">
        <w:rPr>
          <w:rFonts w:ascii="Times New Roman" w:hAnsi="Times New Roman" w:cs="Times New Roman"/>
          <w:sz w:val="24"/>
          <w:szCs w:val="24"/>
        </w:rPr>
        <w:t xml:space="preserve"> because</w:t>
      </w:r>
      <w:r w:rsidR="00BA3060" w:rsidRPr="00BA3060">
        <w:rPr>
          <w:rFonts w:ascii="Times New Roman" w:hAnsi="Times New Roman" w:cs="Times New Roman"/>
          <w:sz w:val="24"/>
          <w:szCs w:val="24"/>
        </w:rPr>
        <w:t xml:space="preserve"> the survey respondent reports only one of the </w:t>
      </w:r>
      <w:r w:rsidR="00BA3060">
        <w:rPr>
          <w:rFonts w:ascii="Times New Roman" w:hAnsi="Times New Roman" w:cs="Times New Roman"/>
          <w:sz w:val="24"/>
          <w:szCs w:val="24"/>
        </w:rPr>
        <w:t xml:space="preserve">7 ranges indicated in Table 2. The respondent reports the first category, no willingness to spend, if actual willingness to spend is at or below some threshold value </w:t>
      </w:r>
      <w:r w:rsidR="00E4339D">
        <w:rPr>
          <w:rFonts w:ascii="Times New Roman" w:hAnsi="Times New Roman" w:cs="Times New Roman"/>
          <w:sz w:val="24"/>
          <w:szCs w:val="24"/>
        </w:rPr>
        <w:t>µ</w:t>
      </w:r>
      <w:r w:rsidR="00E4339D">
        <w:rPr>
          <w:rFonts w:ascii="Times New Roman" w:hAnsi="Times New Roman" w:cs="Times New Roman"/>
          <w:sz w:val="24"/>
          <w:szCs w:val="24"/>
          <w:vertAlign w:val="subscript"/>
        </w:rPr>
        <w:t>1</w:t>
      </w:r>
      <w:r w:rsidR="00C57225">
        <w:rPr>
          <w:rFonts w:ascii="Times New Roman" w:hAnsi="Times New Roman" w:cs="Times New Roman"/>
          <w:sz w:val="24"/>
          <w:szCs w:val="24"/>
        </w:rPr>
        <w:t>, which may be 0</w:t>
      </w:r>
      <w:r w:rsidR="00355E9C">
        <w:rPr>
          <w:rFonts w:ascii="Times New Roman" w:hAnsi="Times New Roman" w:cs="Times New Roman"/>
          <w:sz w:val="24"/>
          <w:szCs w:val="24"/>
        </w:rPr>
        <w:t xml:space="preserve"> but also may be negative or positive</w:t>
      </w:r>
      <w:r w:rsidR="00C57225">
        <w:rPr>
          <w:rFonts w:ascii="Times New Roman" w:hAnsi="Times New Roman" w:cs="Times New Roman"/>
          <w:sz w:val="24"/>
          <w:szCs w:val="24"/>
        </w:rPr>
        <w:t>:</w:t>
      </w:r>
    </w:p>
    <w:p w:rsidR="00BA3060" w:rsidRPr="00B7201E" w:rsidRDefault="00BE0EFC" w:rsidP="00BA3060">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 xml:space="preserve">=1 if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0</m:t>
              </m:r>
            </m:sup>
          </m:sSubSup>
          <m:r>
            <w:rPr>
              <w:rFonts w:ascii="Cambria Math" w:hAnsi="Cambria Math" w:cs="Times New Roman"/>
              <w:sz w:val="24"/>
              <w:szCs w:val="24"/>
            </w:rPr>
            <m:t>= α+</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 xml:space="preserve"> </m:t>
          </m:r>
        </m:oMath>
      </m:oMathPara>
    </w:p>
    <w:p w:rsidR="00B7201E" w:rsidRDefault="00D34490" w:rsidP="00BA3060">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So, </w:t>
      </w:r>
      <w:r w:rsidR="00B7201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Prob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=1</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e>
        </m:d>
        <m:r>
          <w:rPr>
            <w:rFonts w:ascii="Cambria Math" w:eastAsiaTheme="minorEastAsia" w:hAnsi="Cambria Math" w:cs="Times New Roman"/>
            <w:sz w:val="24"/>
            <w:szCs w:val="24"/>
          </w:rPr>
          <m:t>=Prob(</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-α-</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r>
          <w:rPr>
            <w:rFonts w:ascii="Cambria Math" w:hAnsi="Cambria Math" w:cs="Times New Roman"/>
            <w:sz w:val="24"/>
            <w:szCs w:val="24"/>
          </w:rPr>
          <m:t>)</m:t>
        </m:r>
      </m:oMath>
    </w:p>
    <w:p w:rsidR="00BA3060" w:rsidRPr="00BA3060" w:rsidRDefault="00C57225" w:rsidP="00BA306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respondent will report the second category of willingness to spend if:</w:t>
      </w: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5"/>
        <w:gridCol w:w="851"/>
      </w:tblGrid>
      <w:tr w:rsidR="00BA3060" w:rsidRPr="00BA3060" w:rsidTr="00BA3060">
        <w:tc>
          <w:tcPr>
            <w:tcW w:w="6095" w:type="dxa"/>
          </w:tcPr>
          <w:p w:rsidR="001C4B27" w:rsidRDefault="00BE0EFC" w:rsidP="001C4B27">
            <w:pPr>
              <w:spacing w:before="120" w:after="120" w:line="480" w:lineRule="auto"/>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=2   if</m:t>
              </m:r>
              <m:sSub>
                <m:sSubPr>
                  <m:ctrlPr>
                    <w:rPr>
                      <w:rFonts w:ascii="Cambria Math" w:hAnsi="Cambria Math"/>
                      <w:i/>
                    </w:rPr>
                  </m:ctrlPr>
                </m:sSubPr>
                <m:e>
                  <m:r>
                    <w:rPr>
                      <w:rFonts w:ascii="Cambria Math" w:hAnsi="Cambria Math"/>
                    </w:rPr>
                    <m:t xml:space="preserve">  μ</m:t>
                  </m:r>
                </m:e>
                <m:sub>
                  <m:r>
                    <w:rPr>
                      <w:rFonts w:ascii="Cambria Math" w:hAnsi="Cambria Math"/>
                    </w:rPr>
                    <m:t>1</m:t>
                  </m:r>
                </m:sub>
              </m:sSub>
              <m:r>
                <w:rPr>
                  <w:rFonts w:ascii="Cambria Math" w:hAnsi="Cambria Math"/>
                </w:rPr>
                <m:t>&lt;</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oMath>
            <w:r w:rsidR="00BA3060" w:rsidRPr="00BA3060">
              <w:rPr>
                <w:rFonts w:eastAsiaTheme="minorEastAsia"/>
              </w:rPr>
              <w:t xml:space="preserve">   or</w:t>
            </w:r>
          </w:p>
          <w:p w:rsidR="00BA3060" w:rsidRPr="00BA3060" w:rsidRDefault="00BA3060" w:rsidP="00D34490">
            <w:pPr>
              <w:spacing w:before="120" w:after="120" w:line="480" w:lineRule="auto"/>
              <w:rPr>
                <w:rFonts w:eastAsiaTheme="minorEastAsia"/>
              </w:rPr>
            </w:pPr>
            <w:r w:rsidRPr="00BA3060">
              <w:rPr>
                <w:rFonts w:eastAsiaTheme="minorEastAsia"/>
              </w:rPr>
              <w:t xml:space="preserve"> </w:t>
            </w:r>
            <m:oMath>
              <m:r>
                <w:rPr>
                  <w:rFonts w:ascii="Cambria Math" w:eastAsiaTheme="minorEastAsia" w:hAnsi="Cambria Math"/>
                </w:rPr>
                <m:t>Prob(</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cs="Cambria Math"/>
                    </w:rPr>
                    <m:t>i</m:t>
                  </m:r>
                </m:sub>
              </m:sSub>
              <m:r>
                <w:rPr>
                  <w:rFonts w:ascii="Cambria Math" w:eastAsiaTheme="minorEastAsia" w:hAnsi="Cambria Math"/>
                </w:rPr>
                <m:t>=2|</m:t>
              </m:r>
              <m:sSub>
                <m:sSubPr>
                  <m:ctrlPr>
                    <w:rPr>
                      <w:rFonts w:ascii="Cambria Math" w:hAnsi="Cambria Math"/>
                      <w:i/>
                    </w:rPr>
                  </m:ctrlPr>
                </m:sSubPr>
                <m:e>
                  <m:sSub>
                    <m:sSubPr>
                      <m:ctrlPr>
                        <w:rPr>
                          <w:rFonts w:ascii="Cambria Math" w:eastAsiaTheme="minorEastAsia" w:hAnsi="Cambria Math"/>
                          <w:i/>
                        </w:rPr>
                      </m:ctrlPr>
                    </m:sSubPr>
                    <m:e>
                      <m:r>
                        <w:rPr>
                          <w:rFonts w:ascii="Cambria Math" w:eastAsiaTheme="minorEastAsia" w:hAnsi="Cambria Math" w:cs="Cambria Math"/>
                        </w:rPr>
                        <m:t>x</m:t>
                      </m:r>
                    </m:e>
                    <m:sub>
                      <m:r>
                        <w:rPr>
                          <w:rFonts w:ascii="Cambria Math" w:eastAsiaTheme="minorEastAsia" w:hAnsi="Cambria Math" w:cs="Cambria Math"/>
                        </w:rPr>
                        <m:t>ij</m:t>
                      </m:r>
                    </m:sub>
                  </m:sSub>
                  <m:r>
                    <w:rPr>
                      <w:rFonts w:ascii="Cambria Math" w:hAnsi="Cambria Math"/>
                    </w:rPr>
                    <m:t>)=Prob(</m:t>
                  </m:r>
                  <m:r>
                    <w:rPr>
                      <w:rFonts w:ascii="Cambria Math" w:hAnsi="Cambria Math" w:cs="Cambria Math"/>
                    </w:rPr>
                    <m:t>μ</m:t>
                  </m:r>
                </m:e>
                <m:sub>
                  <m:r>
                    <w:rPr>
                      <w:rFonts w:ascii="Cambria Math" w:hAnsi="Cambria Math"/>
                    </w:rPr>
                    <m:t>1</m:t>
                  </m:r>
                </m:sub>
              </m:sSub>
              <m:r>
                <w:rPr>
                  <w:rFonts w:ascii="Cambria Math" w:hAnsi="Cambria Math"/>
                </w:rPr>
                <m:t xml:space="preserve">- </m:t>
              </m:r>
              <m:r>
                <w:rPr>
                  <w:rFonts w:ascii="Cambria Math" w:hAnsi="Cambria Math" w:cs="Cambria Math"/>
                </w:rPr>
                <m:t>α</m:t>
              </m:r>
              <m:r>
                <w:rPr>
                  <w:rFonts w:ascii="Cambria Math" w:hAnsi="Cambria Math"/>
                </w:rPr>
                <m:t>-</m:t>
              </m:r>
              <m:nary>
                <m:naryPr>
                  <m:chr m:val="∑"/>
                  <m:limLoc m:val="undOvr"/>
                  <m:ctrlPr>
                    <w:rPr>
                      <w:rFonts w:ascii="Cambria Math" w:hAnsi="Cambria Math"/>
                      <w:i/>
                    </w:rPr>
                  </m:ctrlPr>
                </m:naryPr>
                <m:sub>
                  <m:r>
                    <w:rPr>
                      <w:rFonts w:ascii="Cambria Math" w:hAnsi="Cambria Math" w:cs="Cambria Math"/>
                    </w:rPr>
                    <m:t>j</m:t>
                  </m:r>
                  <m:r>
                    <w:rPr>
                      <w:rFonts w:ascii="Cambria Math" w:hAnsi="Cambria Math"/>
                    </w:rPr>
                    <m:t>=1</m:t>
                  </m:r>
                </m:sub>
                <m:sup>
                  <m:r>
                    <w:rPr>
                      <w:rFonts w:ascii="Cambria Math" w:hAnsi="Cambria Math"/>
                    </w:rPr>
                    <m:t>J</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&lt;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 α-</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oMath>
          </w:p>
        </w:tc>
        <w:tc>
          <w:tcPr>
            <w:tcW w:w="851" w:type="dxa"/>
          </w:tcPr>
          <w:p w:rsidR="00BA3060" w:rsidRPr="00BA3060" w:rsidRDefault="00BA3060" w:rsidP="00BA3060">
            <w:pPr>
              <w:spacing w:before="120" w:after="120" w:line="480" w:lineRule="auto"/>
              <w:jc w:val="right"/>
              <w:rPr>
                <w:rFonts w:eastAsiaTheme="minorEastAsia"/>
              </w:rPr>
            </w:pPr>
            <w:r w:rsidRPr="00BA3060">
              <w:rPr>
                <w:rFonts w:eastAsiaTheme="minorEastAsia"/>
              </w:rPr>
              <w:t>(3)</w:t>
            </w:r>
          </w:p>
        </w:tc>
      </w:tr>
    </w:tbl>
    <w:p w:rsidR="00BA3060" w:rsidRPr="00BA3060" w:rsidRDefault="00C57225" w:rsidP="00BA306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001C4B27">
        <w:rPr>
          <w:rFonts w:ascii="Times New Roman" w:eastAsiaTheme="minorEastAsia" w:hAnsi="Times New Roman" w:cs="Times New Roman"/>
          <w:sz w:val="24"/>
          <w:szCs w:val="24"/>
        </w:rPr>
        <w:t>imilarly</w:t>
      </w:r>
      <w:r>
        <w:rPr>
          <w:rFonts w:ascii="Times New Roman" w:eastAsiaTheme="minorEastAsia" w:hAnsi="Times New Roman" w:cs="Times New Roman"/>
          <w:sz w:val="24"/>
          <w:szCs w:val="24"/>
        </w:rPr>
        <w:t xml:space="preserve">, each reported spending category </w:t>
      </w:r>
      <w:r w:rsidR="001C4B27">
        <w:rPr>
          <w:rFonts w:ascii="Times New Roman" w:eastAsiaTheme="minorEastAsia" w:hAnsi="Times New Roman" w:cs="Times New Roman"/>
          <w:sz w:val="24"/>
          <w:szCs w:val="24"/>
        </w:rPr>
        <w:t xml:space="preserve">through the penultimate one, </w:t>
      </w:r>
      <w:r>
        <w:rPr>
          <w:rFonts w:ascii="Times New Roman" w:eastAsiaTheme="minorEastAsia" w:hAnsi="Times New Roman" w:cs="Times New Roman"/>
          <w:sz w:val="24"/>
          <w:szCs w:val="24"/>
        </w:rPr>
        <w:t>defines a new threshold parameter.  For willingness to spend at the highest category, in this case W</w:t>
      </w:r>
      <w:r>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=7, t</w:t>
      </w:r>
      <w:r w:rsidR="00BA3060" w:rsidRPr="00BA3060">
        <w:rPr>
          <w:rFonts w:ascii="Times New Roman" w:eastAsiaTheme="minorEastAsia" w:hAnsi="Times New Roman" w:cs="Times New Roman"/>
          <w:sz w:val="24"/>
          <w:szCs w:val="24"/>
        </w:rPr>
        <w:t xml:space="preserve">he </w:t>
      </w:r>
      <w:r w:rsidR="001C4B27">
        <w:rPr>
          <w:rFonts w:ascii="Times New Roman" w:eastAsiaTheme="minorEastAsia" w:hAnsi="Times New Roman" w:cs="Times New Roman"/>
          <w:sz w:val="24"/>
          <w:szCs w:val="24"/>
        </w:rPr>
        <w:t>consumer</w:t>
      </w:r>
      <w:r w:rsidR="00BA3060" w:rsidRPr="00BA3060">
        <w:rPr>
          <w:rFonts w:ascii="Times New Roman" w:eastAsiaTheme="minorEastAsia" w:hAnsi="Times New Roman" w:cs="Times New Roman"/>
          <w:sz w:val="24"/>
          <w:szCs w:val="24"/>
        </w:rPr>
        <w:t xml:space="preserve"> reports </w:t>
      </w:r>
      <w:r w:rsidR="001C4B27">
        <w:rPr>
          <w:rFonts w:ascii="Times New Roman" w:eastAsiaTheme="minorEastAsia" w:hAnsi="Times New Roman" w:cs="Times New Roman"/>
          <w:sz w:val="24"/>
          <w:szCs w:val="24"/>
        </w:rPr>
        <w:t xml:space="preserve">willingness to spend at the highest category if </w:t>
      </w: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80"/>
        <w:gridCol w:w="962"/>
      </w:tblGrid>
      <w:tr w:rsidR="00BA3060" w:rsidRPr="00BA3060" w:rsidTr="000A3578">
        <w:trPr>
          <w:trHeight w:val="1494"/>
        </w:trPr>
        <w:tc>
          <w:tcPr>
            <w:tcW w:w="5780" w:type="dxa"/>
          </w:tcPr>
          <w:p w:rsidR="001C4B27" w:rsidRDefault="00BE0EFC" w:rsidP="001C4B27">
            <w:pPr>
              <w:spacing w:before="120" w:after="120" w:line="480" w:lineRule="auto"/>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=7   if</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0</m:t>
                  </m:r>
                </m:sup>
              </m:sSubSup>
              <m:r>
                <w:rPr>
                  <w:rFonts w:ascii="Cambria Math" w:hAnsi="Cambria Math"/>
                </w:rPr>
                <m:t>= α+</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&gt;</m:t>
              </m:r>
              <m:sSub>
                <m:sSubPr>
                  <m:ctrlPr>
                    <w:rPr>
                      <w:rFonts w:ascii="Cambria Math" w:hAnsi="Cambria Math"/>
                      <w:i/>
                    </w:rPr>
                  </m:ctrlPr>
                </m:sSubPr>
                <m:e>
                  <m:r>
                    <w:rPr>
                      <w:rFonts w:ascii="Cambria Math" w:hAnsi="Cambria Math"/>
                    </w:rPr>
                    <m:t>μ</m:t>
                  </m:r>
                </m:e>
                <m:sub>
                  <m:r>
                    <w:rPr>
                      <w:rFonts w:ascii="Cambria Math" w:hAnsi="Cambria Math"/>
                    </w:rPr>
                    <m:t>6</m:t>
                  </m:r>
                </m:sub>
              </m:sSub>
            </m:oMath>
            <w:r w:rsidR="00BA3060" w:rsidRPr="00BA3060">
              <w:rPr>
                <w:rFonts w:eastAsiaTheme="minorEastAsia"/>
              </w:rPr>
              <w:t xml:space="preserve">   or  </w:t>
            </w:r>
          </w:p>
          <w:p w:rsidR="001C4B27" w:rsidRPr="00BA3060" w:rsidRDefault="00BA3060" w:rsidP="001C4B27">
            <w:pPr>
              <w:spacing w:before="120" w:after="120" w:line="480" w:lineRule="auto"/>
              <w:rPr>
                <w:rFonts w:eastAsiaTheme="minorEastAsia"/>
              </w:rPr>
            </w:pPr>
            <w:r w:rsidRPr="00BA3060">
              <w:rPr>
                <w:rFonts w:eastAsiaTheme="minorEastAsia"/>
              </w:rPr>
              <w:t xml:space="preserve"> </w:t>
            </w:r>
            <m:oMath>
              <m:r>
                <w:rPr>
                  <w:rFonts w:ascii="Cambria Math" w:eastAsiaTheme="minorEastAsia" w:hAnsi="Cambria Math"/>
                </w:rPr>
                <m:t>Prob</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=7</m:t>
                  </m:r>
                </m:e>
                <m:e>
                  <m:sSub>
                    <m:sSubPr>
                      <m:ctrlPr>
                        <w:rPr>
                          <w:rFonts w:ascii="Cambria Math" w:hAnsi="Cambria Math"/>
                          <w:i/>
                        </w:rPr>
                      </m:ctrlPr>
                    </m:sSubPr>
                    <m:e>
                      <m:r>
                        <w:rPr>
                          <w:rFonts w:ascii="Cambria Math" w:hAnsi="Cambria Math"/>
                        </w:rPr>
                        <m:t>x</m:t>
                      </m:r>
                    </m:e>
                    <m:sub>
                      <m:r>
                        <w:rPr>
                          <w:rFonts w:ascii="Cambria Math" w:hAnsi="Cambria Math"/>
                        </w:rPr>
                        <m:t>ij</m:t>
                      </m:r>
                    </m:sub>
                  </m:sSub>
                  <m:ctrlPr>
                    <w:rPr>
                      <w:rFonts w:ascii="Cambria Math" w:hAnsi="Cambria Math"/>
                      <w:i/>
                    </w:rPr>
                  </m:ctrlPr>
                </m:e>
              </m:d>
              <m:r>
                <w:rPr>
                  <w:rFonts w:ascii="Cambria Math" w:hAnsi="Cambria Math"/>
                </w:rPr>
                <m:t xml:space="preserve">=Prob(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6</m:t>
                  </m:r>
                </m:sub>
              </m:sSub>
              <m:r>
                <w:rPr>
                  <w:rFonts w:ascii="Cambria Math" w:eastAsiaTheme="minorEastAsia" w:hAnsi="Cambria Math"/>
                </w:rPr>
                <m:t>-</m:t>
              </m:r>
              <m:r>
                <w:rPr>
                  <w:rFonts w:ascii="Cambria Math" w:hAnsi="Cambria Math"/>
                </w:rPr>
                <m:t xml:space="preserve"> α-</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oMath>
          </w:p>
        </w:tc>
        <w:tc>
          <w:tcPr>
            <w:tcW w:w="962" w:type="dxa"/>
          </w:tcPr>
          <w:p w:rsidR="00BA3060" w:rsidRPr="00BA3060" w:rsidRDefault="00BA3060" w:rsidP="001C4B27">
            <w:pPr>
              <w:spacing w:before="120" w:after="120" w:line="480" w:lineRule="auto"/>
              <w:jc w:val="right"/>
              <w:rPr>
                <w:rFonts w:eastAsiaTheme="minorEastAsia"/>
              </w:rPr>
            </w:pPr>
            <w:r w:rsidRPr="00BA3060">
              <w:rPr>
                <w:rFonts w:eastAsiaTheme="minorEastAsia"/>
              </w:rPr>
              <w:t>(</w:t>
            </w:r>
            <w:r w:rsidR="001C4B27">
              <w:rPr>
                <w:rFonts w:eastAsiaTheme="minorEastAsia"/>
              </w:rPr>
              <w:t>4</w:t>
            </w:r>
            <w:r w:rsidRPr="00BA3060">
              <w:rPr>
                <w:rFonts w:eastAsiaTheme="minorEastAsia"/>
              </w:rPr>
              <w:t>)</w:t>
            </w:r>
          </w:p>
        </w:tc>
      </w:tr>
    </w:tbl>
    <w:p w:rsidR="000A3578" w:rsidRDefault="000A3578" w:rsidP="00BA30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same models are estimated for the reported willingness to drive to attend the Olympics.  </w:t>
      </w:r>
    </w:p>
    <w:p w:rsidR="000A3578" w:rsidRDefault="000A3578" w:rsidP="00BA3060">
      <w:pPr>
        <w:spacing w:line="480" w:lineRule="auto"/>
        <w:rPr>
          <w:rFonts w:ascii="Times New Roman" w:hAnsi="Times New Roman" w:cs="Times New Roman"/>
          <w:sz w:val="24"/>
          <w:szCs w:val="24"/>
        </w:rPr>
      </w:pPr>
      <w:r>
        <w:rPr>
          <w:rFonts w:ascii="Times New Roman" w:hAnsi="Times New Roman" w:cs="Times New Roman"/>
          <w:sz w:val="24"/>
          <w:szCs w:val="24"/>
        </w:rPr>
        <w:t>Results</w:t>
      </w:r>
    </w:p>
    <w:p w:rsidR="000A3578" w:rsidRDefault="000A3578" w:rsidP="00BA30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Tables </w:t>
      </w:r>
      <w:r w:rsidR="00465F1A">
        <w:rPr>
          <w:rFonts w:ascii="Times New Roman" w:hAnsi="Times New Roman" w:cs="Times New Roman"/>
          <w:sz w:val="24"/>
          <w:szCs w:val="24"/>
        </w:rPr>
        <w:t>7</w:t>
      </w:r>
      <w:r>
        <w:rPr>
          <w:rFonts w:ascii="Times New Roman" w:hAnsi="Times New Roman" w:cs="Times New Roman"/>
          <w:sz w:val="24"/>
          <w:szCs w:val="24"/>
        </w:rPr>
        <w:t xml:space="preserve"> through </w:t>
      </w:r>
      <w:r w:rsidR="00465F1A">
        <w:rPr>
          <w:rFonts w:ascii="Times New Roman" w:hAnsi="Times New Roman" w:cs="Times New Roman"/>
          <w:sz w:val="24"/>
          <w:szCs w:val="24"/>
        </w:rPr>
        <w:t>10</w:t>
      </w:r>
      <w:r>
        <w:rPr>
          <w:rFonts w:ascii="Times New Roman" w:hAnsi="Times New Roman" w:cs="Times New Roman"/>
          <w:sz w:val="24"/>
          <w:szCs w:val="24"/>
        </w:rPr>
        <w:t xml:space="preserve"> report estimates of the willingness to pay and willingness to drive equations.  The results for either are consistent across alternative specifications, OLS, Tobit or Ordered probit.  Variables that are statistically significant in one approach are </w:t>
      </w:r>
      <w:r w:rsidR="001A3DEA">
        <w:rPr>
          <w:rFonts w:ascii="Times New Roman" w:hAnsi="Times New Roman" w:cs="Times New Roman"/>
          <w:sz w:val="24"/>
          <w:szCs w:val="24"/>
        </w:rPr>
        <w:t>generally</w:t>
      </w:r>
      <w:r w:rsidR="00703EA4">
        <w:rPr>
          <w:rFonts w:ascii="Times New Roman" w:hAnsi="Times New Roman" w:cs="Times New Roman"/>
          <w:sz w:val="24"/>
          <w:szCs w:val="24"/>
        </w:rPr>
        <w:t xml:space="preserve"> also </w:t>
      </w:r>
      <w:r>
        <w:rPr>
          <w:rFonts w:ascii="Times New Roman" w:hAnsi="Times New Roman" w:cs="Times New Roman"/>
          <w:sz w:val="24"/>
          <w:szCs w:val="24"/>
        </w:rPr>
        <w:t>in the other approaches and with the same direction of impact</w:t>
      </w:r>
      <w:r w:rsidR="00703EA4">
        <w:rPr>
          <w:rFonts w:ascii="Times New Roman" w:hAnsi="Times New Roman" w:cs="Times New Roman"/>
          <w:sz w:val="24"/>
          <w:szCs w:val="24"/>
        </w:rPr>
        <w:t>.</w:t>
      </w:r>
      <w:r w:rsidR="001A3DEA">
        <w:rPr>
          <w:rFonts w:ascii="Times New Roman" w:hAnsi="Times New Roman" w:cs="Times New Roman"/>
          <w:sz w:val="24"/>
          <w:szCs w:val="24"/>
        </w:rPr>
        <w:t xml:space="preserve">  Only the Mountain states census </w:t>
      </w:r>
      <w:r w:rsidR="001A3DEA">
        <w:rPr>
          <w:rFonts w:ascii="Times New Roman" w:hAnsi="Times New Roman" w:cs="Times New Roman"/>
          <w:sz w:val="24"/>
          <w:szCs w:val="24"/>
        </w:rPr>
        <w:lastRenderedPageBreak/>
        <w:t>region variable breaks this pattern in the willingness to spend equation, being significant at the 10% level in the OLS specification.</w:t>
      </w:r>
      <w:r w:rsidR="00703EA4">
        <w:rPr>
          <w:rFonts w:ascii="Times New Roman" w:hAnsi="Times New Roman" w:cs="Times New Roman"/>
          <w:sz w:val="24"/>
          <w:szCs w:val="24"/>
        </w:rPr>
        <w:t xml:space="preserve">  For willingness to drive, </w:t>
      </w:r>
      <w:r w:rsidR="001A3DEA">
        <w:rPr>
          <w:rFonts w:ascii="Times New Roman" w:hAnsi="Times New Roman" w:cs="Times New Roman"/>
          <w:sz w:val="24"/>
          <w:szCs w:val="24"/>
        </w:rPr>
        <w:t xml:space="preserve">two variables are statistically insignificant in the </w:t>
      </w:r>
      <w:r w:rsidR="00703EA4">
        <w:rPr>
          <w:rFonts w:ascii="Times New Roman" w:hAnsi="Times New Roman" w:cs="Times New Roman"/>
          <w:sz w:val="24"/>
          <w:szCs w:val="24"/>
        </w:rPr>
        <w:t xml:space="preserve">OLS </w:t>
      </w:r>
      <w:r w:rsidR="001A3DEA">
        <w:rPr>
          <w:rFonts w:ascii="Times New Roman" w:hAnsi="Times New Roman" w:cs="Times New Roman"/>
          <w:sz w:val="24"/>
          <w:szCs w:val="24"/>
        </w:rPr>
        <w:t>model bu</w:t>
      </w:r>
      <w:r w:rsidR="00703EA4">
        <w:rPr>
          <w:rFonts w:ascii="Times New Roman" w:hAnsi="Times New Roman" w:cs="Times New Roman"/>
          <w:sz w:val="24"/>
          <w:szCs w:val="24"/>
        </w:rPr>
        <w:t xml:space="preserve">t become </w:t>
      </w:r>
      <w:r w:rsidR="001A3DEA">
        <w:rPr>
          <w:rFonts w:ascii="Times New Roman" w:hAnsi="Times New Roman" w:cs="Times New Roman"/>
          <w:sz w:val="24"/>
          <w:szCs w:val="24"/>
        </w:rPr>
        <w:t xml:space="preserve">significant in </w:t>
      </w:r>
      <w:r w:rsidR="00703EA4">
        <w:rPr>
          <w:rFonts w:ascii="Times New Roman" w:hAnsi="Times New Roman" w:cs="Times New Roman"/>
          <w:sz w:val="24"/>
          <w:szCs w:val="24"/>
        </w:rPr>
        <w:t>the other specifications of the willingness to drive</w:t>
      </w:r>
      <w:r w:rsidR="001A3DEA">
        <w:rPr>
          <w:rFonts w:ascii="Times New Roman" w:hAnsi="Times New Roman" w:cs="Times New Roman"/>
          <w:sz w:val="24"/>
          <w:szCs w:val="24"/>
        </w:rPr>
        <w:t xml:space="preserve"> equation</w:t>
      </w:r>
      <w:r>
        <w:rPr>
          <w:rFonts w:ascii="Times New Roman" w:hAnsi="Times New Roman" w:cs="Times New Roman"/>
          <w:sz w:val="24"/>
          <w:szCs w:val="24"/>
        </w:rPr>
        <w:t xml:space="preserve">.  </w:t>
      </w:r>
    </w:p>
    <w:p w:rsidR="00703EA4" w:rsidRDefault="00465F1A" w:rsidP="00BA3060">
      <w:pPr>
        <w:spacing w:line="480" w:lineRule="auto"/>
        <w:rPr>
          <w:rFonts w:ascii="Times New Roman" w:hAnsi="Times New Roman" w:cs="Times New Roman"/>
          <w:sz w:val="24"/>
          <w:szCs w:val="24"/>
        </w:rPr>
      </w:pPr>
      <w:r>
        <w:rPr>
          <w:rFonts w:ascii="Times New Roman" w:hAnsi="Times New Roman" w:cs="Times New Roman"/>
          <w:sz w:val="24"/>
          <w:szCs w:val="24"/>
        </w:rPr>
        <w:tab/>
        <w:t>The results in Table 7</w:t>
      </w:r>
      <w:r w:rsidR="00703EA4">
        <w:rPr>
          <w:rFonts w:ascii="Times New Roman" w:hAnsi="Times New Roman" w:cs="Times New Roman"/>
          <w:sz w:val="24"/>
          <w:szCs w:val="24"/>
        </w:rPr>
        <w:t xml:space="preserve"> show that income, particularly high income, is a strong determinant of both willingness to pay for the United States to become host of the Summer Olympics</w:t>
      </w:r>
      <w:r w:rsidR="00954FC6">
        <w:rPr>
          <w:rFonts w:ascii="Times New Roman" w:hAnsi="Times New Roman" w:cs="Times New Roman"/>
          <w:sz w:val="24"/>
          <w:szCs w:val="24"/>
        </w:rPr>
        <w:t xml:space="preserve"> and of the willingness to drive to attend the Games.  For example, all other things constant, an individual in the second income category, whose income falls in the range $30,000 to $60,000 annually, is willing to pay $49.64 more than an individual in the lowest income category to attract the Games to the US.  The coefficients on the three income variables rise with income, indicating that the wealthier one is the more they are willing to pay.  The effect of income on willingness to pay also appears to be </w:t>
      </w:r>
      <w:r w:rsidR="001A6632">
        <w:rPr>
          <w:rFonts w:ascii="Times New Roman" w:hAnsi="Times New Roman" w:cs="Times New Roman"/>
          <w:sz w:val="24"/>
          <w:szCs w:val="24"/>
        </w:rPr>
        <w:t>highly nonlinear</w:t>
      </w:r>
      <w:r w:rsidR="00954FC6">
        <w:rPr>
          <w:rFonts w:ascii="Times New Roman" w:hAnsi="Times New Roman" w:cs="Times New Roman"/>
          <w:sz w:val="24"/>
          <w:szCs w:val="24"/>
        </w:rPr>
        <w:t xml:space="preserve">; from income </w:t>
      </w:r>
      <w:r w:rsidR="001A6632">
        <w:rPr>
          <w:rFonts w:ascii="Times New Roman" w:hAnsi="Times New Roman" w:cs="Times New Roman"/>
          <w:sz w:val="24"/>
          <w:szCs w:val="24"/>
        </w:rPr>
        <w:t>less than</w:t>
      </w:r>
      <w:r w:rsidR="00954FC6">
        <w:rPr>
          <w:rFonts w:ascii="Times New Roman" w:hAnsi="Times New Roman" w:cs="Times New Roman"/>
          <w:sz w:val="24"/>
          <w:szCs w:val="24"/>
        </w:rPr>
        <w:t xml:space="preserve"> </w:t>
      </w:r>
      <w:r w:rsidR="00C2064A">
        <w:rPr>
          <w:rFonts w:ascii="Times New Roman" w:hAnsi="Times New Roman" w:cs="Times New Roman"/>
          <w:sz w:val="24"/>
          <w:szCs w:val="24"/>
        </w:rPr>
        <w:t>$</w:t>
      </w:r>
      <w:r w:rsidR="00954FC6">
        <w:rPr>
          <w:rFonts w:ascii="Times New Roman" w:hAnsi="Times New Roman" w:cs="Times New Roman"/>
          <w:sz w:val="24"/>
          <w:szCs w:val="24"/>
        </w:rPr>
        <w:t xml:space="preserve">30 </w:t>
      </w:r>
      <w:r w:rsidR="00C2064A">
        <w:rPr>
          <w:rFonts w:ascii="Times New Roman" w:hAnsi="Times New Roman" w:cs="Times New Roman"/>
          <w:sz w:val="24"/>
          <w:szCs w:val="24"/>
        </w:rPr>
        <w:t xml:space="preserve">to income between $30 </w:t>
      </w:r>
      <w:r w:rsidR="00954FC6">
        <w:rPr>
          <w:rFonts w:ascii="Times New Roman" w:hAnsi="Times New Roman" w:cs="Times New Roman"/>
          <w:sz w:val="24"/>
          <w:szCs w:val="24"/>
        </w:rPr>
        <w:t xml:space="preserve">and 60 thousand, willingness to pay rises </w:t>
      </w:r>
      <w:r w:rsidR="00C2064A">
        <w:rPr>
          <w:rFonts w:ascii="Times New Roman" w:hAnsi="Times New Roman" w:cs="Times New Roman"/>
          <w:sz w:val="24"/>
          <w:szCs w:val="24"/>
        </w:rPr>
        <w:t xml:space="preserve">by $49.64 </w:t>
      </w:r>
      <w:r w:rsidR="00954FC6">
        <w:rPr>
          <w:rFonts w:ascii="Times New Roman" w:hAnsi="Times New Roman" w:cs="Times New Roman"/>
          <w:sz w:val="24"/>
          <w:szCs w:val="24"/>
        </w:rPr>
        <w:t xml:space="preserve">but </w:t>
      </w:r>
      <w:r w:rsidR="001A6632">
        <w:rPr>
          <w:rFonts w:ascii="Times New Roman" w:hAnsi="Times New Roman" w:cs="Times New Roman"/>
          <w:sz w:val="24"/>
          <w:szCs w:val="24"/>
        </w:rPr>
        <w:t xml:space="preserve">moving </w:t>
      </w:r>
      <w:r w:rsidR="00954FC6">
        <w:rPr>
          <w:rFonts w:ascii="Times New Roman" w:hAnsi="Times New Roman" w:cs="Times New Roman"/>
          <w:sz w:val="24"/>
          <w:szCs w:val="24"/>
        </w:rPr>
        <w:t xml:space="preserve">from </w:t>
      </w:r>
      <w:r w:rsidR="001A6632">
        <w:rPr>
          <w:rFonts w:ascii="Times New Roman" w:hAnsi="Times New Roman" w:cs="Times New Roman"/>
          <w:sz w:val="24"/>
          <w:szCs w:val="24"/>
        </w:rPr>
        <w:t>bet</w:t>
      </w:r>
      <w:r w:rsidR="00C2064A">
        <w:rPr>
          <w:rFonts w:ascii="Times New Roman" w:hAnsi="Times New Roman" w:cs="Times New Roman"/>
          <w:sz w:val="24"/>
          <w:szCs w:val="24"/>
        </w:rPr>
        <w:t xml:space="preserve">ween $30 and $60 up to </w:t>
      </w:r>
      <w:r w:rsidR="001A6632">
        <w:rPr>
          <w:rFonts w:ascii="Times New Roman" w:hAnsi="Times New Roman" w:cs="Times New Roman"/>
          <w:sz w:val="24"/>
          <w:szCs w:val="24"/>
        </w:rPr>
        <w:t>between</w:t>
      </w:r>
      <w:r w:rsidR="00954FC6">
        <w:rPr>
          <w:rFonts w:ascii="Times New Roman" w:hAnsi="Times New Roman" w:cs="Times New Roman"/>
          <w:sz w:val="24"/>
          <w:szCs w:val="24"/>
        </w:rPr>
        <w:t xml:space="preserve"> </w:t>
      </w:r>
      <w:r w:rsidR="00C2064A">
        <w:rPr>
          <w:rFonts w:ascii="Times New Roman" w:hAnsi="Times New Roman" w:cs="Times New Roman"/>
          <w:sz w:val="24"/>
          <w:szCs w:val="24"/>
        </w:rPr>
        <w:t>$</w:t>
      </w:r>
      <w:r w:rsidR="00954FC6">
        <w:rPr>
          <w:rFonts w:ascii="Times New Roman" w:hAnsi="Times New Roman" w:cs="Times New Roman"/>
          <w:sz w:val="24"/>
          <w:szCs w:val="24"/>
        </w:rPr>
        <w:t xml:space="preserve">60 thousand and </w:t>
      </w:r>
      <w:r w:rsidR="00C2064A">
        <w:rPr>
          <w:rFonts w:ascii="Times New Roman" w:hAnsi="Times New Roman" w:cs="Times New Roman"/>
          <w:sz w:val="24"/>
          <w:szCs w:val="24"/>
        </w:rPr>
        <w:t>$</w:t>
      </w:r>
      <w:r w:rsidR="00954FC6">
        <w:rPr>
          <w:rFonts w:ascii="Times New Roman" w:hAnsi="Times New Roman" w:cs="Times New Roman"/>
          <w:sz w:val="24"/>
          <w:szCs w:val="24"/>
        </w:rPr>
        <w:t xml:space="preserve">100 thousand willingness to pay jumps </w:t>
      </w:r>
      <w:r w:rsidR="00C2064A">
        <w:rPr>
          <w:rFonts w:ascii="Times New Roman" w:hAnsi="Times New Roman" w:cs="Times New Roman"/>
          <w:sz w:val="24"/>
          <w:szCs w:val="24"/>
        </w:rPr>
        <w:t xml:space="preserve">less than $5.  Then when income moves to $100 thousand or more, willingness to spend increases </w:t>
      </w:r>
      <w:r w:rsidR="00954FC6">
        <w:rPr>
          <w:rFonts w:ascii="Times New Roman" w:hAnsi="Times New Roman" w:cs="Times New Roman"/>
          <w:sz w:val="24"/>
          <w:szCs w:val="24"/>
        </w:rPr>
        <w:t xml:space="preserve">by $48. </w:t>
      </w:r>
    </w:p>
    <w:p w:rsidR="00954FC6" w:rsidRDefault="00954FC6" w:rsidP="00BA30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effects of income </w:t>
      </w:r>
      <w:r w:rsidR="00DF6328">
        <w:rPr>
          <w:rFonts w:ascii="Times New Roman" w:hAnsi="Times New Roman" w:cs="Times New Roman"/>
          <w:sz w:val="24"/>
          <w:szCs w:val="24"/>
        </w:rPr>
        <w:t xml:space="preserve">on driving </w:t>
      </w:r>
      <w:r>
        <w:rPr>
          <w:rFonts w:ascii="Times New Roman" w:hAnsi="Times New Roman" w:cs="Times New Roman"/>
          <w:sz w:val="24"/>
          <w:szCs w:val="24"/>
        </w:rPr>
        <w:t xml:space="preserve">are </w:t>
      </w:r>
      <w:r w:rsidR="00DF6328">
        <w:rPr>
          <w:rFonts w:ascii="Times New Roman" w:hAnsi="Times New Roman" w:cs="Times New Roman"/>
          <w:sz w:val="24"/>
          <w:szCs w:val="24"/>
        </w:rPr>
        <w:t>also interesting</w:t>
      </w:r>
      <w:r>
        <w:rPr>
          <w:rFonts w:ascii="Times New Roman" w:hAnsi="Times New Roman" w:cs="Times New Roman"/>
          <w:sz w:val="24"/>
          <w:szCs w:val="24"/>
        </w:rPr>
        <w:t xml:space="preserve">.  Individuals in the second income group, those with incomes between $30 and $60 thousand a year, express no more willingness to drive to the Games than do the poorest individuals in the survey.  However, </w:t>
      </w:r>
      <w:r w:rsidR="00DF6328">
        <w:rPr>
          <w:rFonts w:ascii="Times New Roman" w:hAnsi="Times New Roman" w:cs="Times New Roman"/>
          <w:sz w:val="24"/>
          <w:szCs w:val="24"/>
        </w:rPr>
        <w:t>those with incomes between $60 and $100 thousand are willing to drive nearly two more hours than the less wealthy, and the wealthiest group, with incomes at or above $100 thousand a year are willing to drive three and a half hours to attend the Summer Olympic Games.</w:t>
      </w:r>
    </w:p>
    <w:p w:rsidR="006744F8" w:rsidRDefault="006744F8" w:rsidP="00BA3060">
      <w:pPr>
        <w:spacing w:line="480" w:lineRule="auto"/>
        <w:rPr>
          <w:rFonts w:ascii="Times New Roman" w:hAnsi="Times New Roman" w:cs="Times New Roman"/>
          <w:sz w:val="24"/>
          <w:szCs w:val="24"/>
        </w:rPr>
      </w:pPr>
      <w:r>
        <w:rPr>
          <w:rFonts w:ascii="Times New Roman" w:hAnsi="Times New Roman" w:cs="Times New Roman"/>
          <w:sz w:val="24"/>
          <w:szCs w:val="24"/>
        </w:rPr>
        <w:tab/>
      </w:r>
      <w:r w:rsidR="007E2E21">
        <w:rPr>
          <w:rFonts w:ascii="Times New Roman" w:hAnsi="Times New Roman" w:cs="Times New Roman"/>
          <w:sz w:val="24"/>
          <w:szCs w:val="24"/>
        </w:rPr>
        <w:t xml:space="preserve">In the OLS results of Table </w:t>
      </w:r>
      <w:r w:rsidR="00465F1A">
        <w:rPr>
          <w:rFonts w:ascii="Times New Roman" w:hAnsi="Times New Roman" w:cs="Times New Roman"/>
          <w:sz w:val="24"/>
          <w:szCs w:val="24"/>
        </w:rPr>
        <w:t>7</w:t>
      </w:r>
      <w:r w:rsidR="007E2E21">
        <w:rPr>
          <w:rFonts w:ascii="Times New Roman" w:hAnsi="Times New Roman" w:cs="Times New Roman"/>
          <w:sz w:val="24"/>
          <w:szCs w:val="24"/>
        </w:rPr>
        <w:t>, w</w:t>
      </w:r>
      <w:r>
        <w:rPr>
          <w:rFonts w:ascii="Times New Roman" w:hAnsi="Times New Roman" w:cs="Times New Roman"/>
          <w:sz w:val="24"/>
          <w:szCs w:val="24"/>
        </w:rPr>
        <w:t>hites and females are both less willing to spend to ensure the US hosts the Summer Olympics than are</w:t>
      </w:r>
      <w:r w:rsidRPr="006744F8">
        <w:rPr>
          <w:rFonts w:ascii="Times New Roman" w:hAnsi="Times New Roman" w:cs="Times New Roman"/>
          <w:sz w:val="24"/>
          <w:szCs w:val="24"/>
        </w:rPr>
        <w:t xml:space="preserve"> </w:t>
      </w:r>
      <w:r>
        <w:rPr>
          <w:rFonts w:ascii="Times New Roman" w:hAnsi="Times New Roman" w:cs="Times New Roman"/>
          <w:sz w:val="24"/>
          <w:szCs w:val="24"/>
        </w:rPr>
        <w:t>other survey respondents</w:t>
      </w:r>
      <w:r w:rsidR="007E2E21">
        <w:rPr>
          <w:rFonts w:ascii="Times New Roman" w:hAnsi="Times New Roman" w:cs="Times New Roman"/>
          <w:sz w:val="24"/>
          <w:szCs w:val="24"/>
        </w:rPr>
        <w:t xml:space="preserve"> while they are no different </w:t>
      </w:r>
      <w:r w:rsidR="007E2E21">
        <w:rPr>
          <w:rFonts w:ascii="Times New Roman" w:hAnsi="Times New Roman" w:cs="Times New Roman"/>
          <w:sz w:val="24"/>
          <w:szCs w:val="24"/>
        </w:rPr>
        <w:lastRenderedPageBreak/>
        <w:t>than others in terms of willingness to drive to attend the Games.  Whites are willing to spend $45.44 less than non-whites; females are willing to spend $18.59 less than males.</w:t>
      </w:r>
    </w:p>
    <w:p w:rsidR="007E2E21" w:rsidRDefault="007E2E21" w:rsidP="00BA3060">
      <w:pPr>
        <w:spacing w:line="480" w:lineRule="auto"/>
        <w:rPr>
          <w:rFonts w:ascii="Times New Roman" w:hAnsi="Times New Roman" w:cs="Times New Roman"/>
          <w:sz w:val="24"/>
          <w:szCs w:val="24"/>
        </w:rPr>
      </w:pPr>
      <w:r>
        <w:rPr>
          <w:rFonts w:ascii="Times New Roman" w:hAnsi="Times New Roman" w:cs="Times New Roman"/>
          <w:sz w:val="24"/>
          <w:szCs w:val="24"/>
        </w:rPr>
        <w:tab/>
        <w:t>Interestingly, age, in natural logarithms, has a negative coeffici</w:t>
      </w:r>
      <w:r w:rsidR="00465F1A">
        <w:rPr>
          <w:rFonts w:ascii="Times New Roman" w:hAnsi="Times New Roman" w:cs="Times New Roman"/>
          <w:sz w:val="24"/>
          <w:szCs w:val="24"/>
        </w:rPr>
        <w:t>ent in both equations in Table 7</w:t>
      </w:r>
      <w:r>
        <w:rPr>
          <w:rFonts w:ascii="Times New Roman" w:hAnsi="Times New Roman" w:cs="Times New Roman"/>
          <w:sz w:val="24"/>
          <w:szCs w:val="24"/>
        </w:rPr>
        <w:t xml:space="preserve"> but neither is statistically significant at conventional levels.  Likewise, being from one of the finalist cities, San Francisco, Los Angeles, Boston, </w:t>
      </w:r>
      <w:r w:rsidR="009F0C56">
        <w:rPr>
          <w:rFonts w:ascii="Times New Roman" w:hAnsi="Times New Roman" w:cs="Times New Roman"/>
          <w:sz w:val="24"/>
          <w:szCs w:val="24"/>
        </w:rPr>
        <w:t>and Washington,</w:t>
      </w:r>
      <w:r w:rsidR="00333665">
        <w:rPr>
          <w:rFonts w:ascii="Times New Roman" w:hAnsi="Times New Roman" w:cs="Times New Roman"/>
          <w:sz w:val="24"/>
          <w:szCs w:val="24"/>
        </w:rPr>
        <w:t xml:space="preserve"> has no impact on willingness to pay or to drive.  Individuals from the Mountain states census region express a lower willingness to pay, of nearly $31, to host the Games than do residents of any other region; those from the East North Central</w:t>
      </w:r>
      <w:r w:rsidR="001A3DEA">
        <w:rPr>
          <w:rFonts w:ascii="Times New Roman" w:hAnsi="Times New Roman" w:cs="Times New Roman"/>
          <w:sz w:val="24"/>
          <w:szCs w:val="24"/>
        </w:rPr>
        <w:t xml:space="preserve"> (Ohio, Michigan, Wisconsin, Indiana, and Illinois)</w:t>
      </w:r>
      <w:r w:rsidR="00333665">
        <w:rPr>
          <w:rFonts w:ascii="Times New Roman" w:hAnsi="Times New Roman" w:cs="Times New Roman"/>
          <w:sz w:val="24"/>
          <w:szCs w:val="24"/>
        </w:rPr>
        <w:t xml:space="preserve"> and West North Central </w:t>
      </w:r>
      <w:r w:rsidR="001A3DEA">
        <w:rPr>
          <w:rFonts w:ascii="Times New Roman" w:hAnsi="Times New Roman" w:cs="Times New Roman"/>
          <w:sz w:val="24"/>
          <w:szCs w:val="24"/>
        </w:rPr>
        <w:t xml:space="preserve">(Nebraska, Iowa, North and South Dakota, Kansas, Missouri and Minnesota) </w:t>
      </w:r>
      <w:r w:rsidR="00333665">
        <w:rPr>
          <w:rFonts w:ascii="Times New Roman" w:hAnsi="Times New Roman" w:cs="Times New Roman"/>
          <w:sz w:val="24"/>
          <w:szCs w:val="24"/>
        </w:rPr>
        <w:t>states report a greater willingness to drive to attend the Summer Olympics.  Those from the former are willing to drive about an hour and ten minutes more and people from the latter region two hours and 25 minutes more than others.</w:t>
      </w:r>
    </w:p>
    <w:p w:rsidR="00A560CC" w:rsidRDefault="00465F1A" w:rsidP="00BA3060">
      <w:pPr>
        <w:spacing w:line="480" w:lineRule="auto"/>
        <w:rPr>
          <w:rFonts w:ascii="Times New Roman" w:hAnsi="Times New Roman" w:cs="Times New Roman"/>
          <w:sz w:val="24"/>
          <w:szCs w:val="24"/>
        </w:rPr>
      </w:pPr>
      <w:r>
        <w:rPr>
          <w:rFonts w:ascii="Times New Roman" w:hAnsi="Times New Roman" w:cs="Times New Roman"/>
          <w:sz w:val="24"/>
          <w:szCs w:val="24"/>
        </w:rPr>
        <w:tab/>
        <w:t>Table 8</w:t>
      </w:r>
      <w:r w:rsidR="00A560CC">
        <w:rPr>
          <w:rFonts w:ascii="Times New Roman" w:hAnsi="Times New Roman" w:cs="Times New Roman"/>
          <w:sz w:val="24"/>
          <w:szCs w:val="24"/>
        </w:rPr>
        <w:t xml:space="preserve"> presents the results of estimating the willingness to spend and willingness to drive equations using Tobit</w:t>
      </w:r>
      <w:r w:rsidR="008E596F">
        <w:rPr>
          <w:rFonts w:ascii="Times New Roman" w:hAnsi="Times New Roman" w:cs="Times New Roman"/>
          <w:sz w:val="24"/>
          <w:szCs w:val="24"/>
        </w:rPr>
        <w:t xml:space="preserve"> with both upper and lower bounds</w:t>
      </w:r>
      <w:r w:rsidR="00A560CC">
        <w:rPr>
          <w:rFonts w:ascii="Times New Roman" w:hAnsi="Times New Roman" w:cs="Times New Roman"/>
          <w:sz w:val="24"/>
          <w:szCs w:val="24"/>
        </w:rPr>
        <w:t>.  As shown in the table, more than a third of the observations are left censored in the willingness to spend; in other words, fewer than two thirds</w:t>
      </w:r>
      <w:r w:rsidR="00A560CC" w:rsidRPr="00A560CC">
        <w:rPr>
          <w:rFonts w:ascii="Times New Roman" w:hAnsi="Times New Roman" w:cs="Times New Roman"/>
          <w:sz w:val="24"/>
          <w:szCs w:val="24"/>
        </w:rPr>
        <w:t xml:space="preserve"> </w:t>
      </w:r>
      <w:r w:rsidR="00A560CC">
        <w:rPr>
          <w:rFonts w:ascii="Times New Roman" w:hAnsi="Times New Roman" w:cs="Times New Roman"/>
          <w:sz w:val="24"/>
          <w:szCs w:val="24"/>
        </w:rPr>
        <w:t xml:space="preserve">of the survey respondents expressed a willingness to spend greater than zero. </w:t>
      </w:r>
      <w:r w:rsidR="008E596F">
        <w:rPr>
          <w:rFonts w:ascii="Times New Roman" w:hAnsi="Times New Roman" w:cs="Times New Roman"/>
          <w:sz w:val="24"/>
          <w:szCs w:val="24"/>
        </w:rPr>
        <w:t xml:space="preserve"> </w:t>
      </w:r>
      <w:r w:rsidR="00A560CC">
        <w:rPr>
          <w:rFonts w:ascii="Times New Roman" w:hAnsi="Times New Roman" w:cs="Times New Roman"/>
          <w:sz w:val="24"/>
          <w:szCs w:val="24"/>
        </w:rPr>
        <w:t xml:space="preserve">The OLS results </w:t>
      </w:r>
      <w:r w:rsidR="00231B36">
        <w:rPr>
          <w:rFonts w:ascii="Times New Roman" w:hAnsi="Times New Roman" w:cs="Times New Roman"/>
          <w:sz w:val="24"/>
          <w:szCs w:val="24"/>
        </w:rPr>
        <w:t xml:space="preserve">for the spending equation </w:t>
      </w:r>
      <w:r>
        <w:rPr>
          <w:rFonts w:ascii="Times New Roman" w:hAnsi="Times New Roman" w:cs="Times New Roman"/>
          <w:sz w:val="24"/>
          <w:szCs w:val="24"/>
        </w:rPr>
        <w:t xml:space="preserve">of Table 7 </w:t>
      </w:r>
      <w:r w:rsidR="00A560CC">
        <w:rPr>
          <w:rFonts w:ascii="Times New Roman" w:hAnsi="Times New Roman" w:cs="Times New Roman"/>
          <w:sz w:val="24"/>
          <w:szCs w:val="24"/>
        </w:rPr>
        <w:t xml:space="preserve">are, therefore, likely biased and inconsistent.  </w:t>
      </w:r>
      <w:r w:rsidR="008E596F">
        <w:rPr>
          <w:rFonts w:ascii="Times New Roman" w:hAnsi="Times New Roman" w:cs="Times New Roman"/>
          <w:sz w:val="24"/>
          <w:szCs w:val="24"/>
        </w:rPr>
        <w:t xml:space="preserve">Only 34 observations, less than 2% of the observations, expressed a willingness to spend of more than $1000 suggesting right censoring may not be a problem.  </w:t>
      </w:r>
      <w:r w:rsidR="00231B36">
        <w:rPr>
          <w:rFonts w:ascii="Times New Roman" w:hAnsi="Times New Roman" w:cs="Times New Roman"/>
          <w:sz w:val="24"/>
          <w:szCs w:val="24"/>
        </w:rPr>
        <w:t>Fifteen percent reported being unwilling to drive at all to see the Summer Olympics</w:t>
      </w:r>
      <w:r w:rsidR="008E596F">
        <w:rPr>
          <w:rFonts w:ascii="Times New Roman" w:hAnsi="Times New Roman" w:cs="Times New Roman"/>
          <w:sz w:val="24"/>
          <w:szCs w:val="24"/>
        </w:rPr>
        <w:t xml:space="preserve"> while 7% reported a willingness to drive 24 or more hours.</w:t>
      </w:r>
    </w:p>
    <w:p w:rsidR="00231B36" w:rsidRDefault="00231B36" w:rsidP="00BA3060">
      <w:pPr>
        <w:spacing w:line="480" w:lineRule="auto"/>
        <w:rPr>
          <w:rFonts w:ascii="Times New Roman" w:hAnsi="Times New Roman" w:cs="Times New Roman"/>
          <w:sz w:val="24"/>
          <w:szCs w:val="24"/>
        </w:rPr>
      </w:pPr>
      <w:r>
        <w:rPr>
          <w:rFonts w:ascii="Times New Roman" w:hAnsi="Times New Roman" w:cs="Times New Roman"/>
          <w:sz w:val="24"/>
          <w:szCs w:val="24"/>
        </w:rPr>
        <w:tab/>
      </w:r>
      <w:r w:rsidR="008E596F">
        <w:rPr>
          <w:rFonts w:ascii="Times New Roman" w:hAnsi="Times New Roman" w:cs="Times New Roman"/>
          <w:sz w:val="24"/>
          <w:szCs w:val="24"/>
        </w:rPr>
        <w:t xml:space="preserve">As suggested above, the results from the censored models are quite similar to the OLS findings. White, Male, and the three income categories are all individually significant with only </w:t>
      </w:r>
      <w:r w:rsidR="008E596F">
        <w:rPr>
          <w:rFonts w:ascii="Times New Roman" w:hAnsi="Times New Roman" w:cs="Times New Roman"/>
          <w:sz w:val="24"/>
          <w:szCs w:val="24"/>
        </w:rPr>
        <w:lastRenderedPageBreak/>
        <w:t xml:space="preserve">Male (p=0.06) not being so at the 1% level. </w:t>
      </w:r>
      <w:r>
        <w:rPr>
          <w:rFonts w:ascii="Times New Roman" w:hAnsi="Times New Roman" w:cs="Times New Roman"/>
          <w:sz w:val="24"/>
          <w:szCs w:val="24"/>
        </w:rPr>
        <w:t xml:space="preserve"> </w:t>
      </w:r>
      <w:r w:rsidR="008E596F">
        <w:rPr>
          <w:rFonts w:ascii="Times New Roman" w:hAnsi="Times New Roman" w:cs="Times New Roman"/>
          <w:sz w:val="24"/>
          <w:szCs w:val="24"/>
        </w:rPr>
        <w:t>Each of the coefficient estimates indicates a stronger effect once the censoring is accounted for.  In this model, white respondents report willingness to spend that is $71.86 less than the reported willingness of non-whites.  Females are $30.46 less willing to spend to host the Summer Olympics than are males.</w:t>
      </w:r>
      <w:r w:rsidR="003B4D6C">
        <w:rPr>
          <w:rFonts w:ascii="Times New Roman" w:hAnsi="Times New Roman" w:cs="Times New Roman"/>
          <w:sz w:val="24"/>
          <w:szCs w:val="24"/>
        </w:rPr>
        <w:t xml:space="preserve">  Higher income individuals are willing to spend substantially more than poorer individuals to assure the US hosts the Summer Olympics.  The jump from those with incomes under $30 thousand to those in the $30 to $60 thousand range is over $81, but between the $30 to $60 thousand range and the $60 to $100 thousand dollar range, the boost in willingness to spend is only $7.50.  Those with reported income over $100 thousand report a willingness to spend on attracting the Olympics of $160.25, 80% more than individuals whose income tops out at $100 thousand.</w:t>
      </w:r>
    </w:p>
    <w:p w:rsidR="003B4D6C" w:rsidRDefault="003B4D6C" w:rsidP="00BA3060">
      <w:pPr>
        <w:spacing w:line="480" w:lineRule="auto"/>
        <w:rPr>
          <w:rFonts w:ascii="Times New Roman" w:hAnsi="Times New Roman" w:cs="Times New Roman"/>
          <w:sz w:val="24"/>
          <w:szCs w:val="24"/>
        </w:rPr>
      </w:pPr>
      <w:r>
        <w:rPr>
          <w:rFonts w:ascii="Times New Roman" w:hAnsi="Times New Roman" w:cs="Times New Roman"/>
          <w:sz w:val="24"/>
          <w:szCs w:val="24"/>
        </w:rPr>
        <w:tab/>
        <w:t>Male and the income categories are all individually significant at the 5% level or better in the willingness to drive equation.  Males report being willing to drive 50 minutes more than females to attend the Summer Olympics.  The second income group is willing to drive about an hour longer to attend the Olympics than are the poorest group of survey respondents.  Individuals earning from $60 to $100 thousand a year</w:t>
      </w:r>
      <w:r w:rsidR="005F577F">
        <w:rPr>
          <w:rFonts w:ascii="Times New Roman" w:hAnsi="Times New Roman" w:cs="Times New Roman"/>
          <w:sz w:val="24"/>
          <w:szCs w:val="24"/>
        </w:rPr>
        <w:t xml:space="preserve"> are willing to drive about two hours and ten minutes longer than people earning less than $30 thousand a year, and those with incomes over $100 thousand a year report being willing to drive three hours and 55 minutes to attend the Summer Games.  Finally, note that those from the East North Central and West North Central census regions are, as in the OLS results, willing to drive statistically significantly (at the 10% level) more time to go to the Summer Olympic Games.</w:t>
      </w:r>
    </w:p>
    <w:p w:rsidR="0015263E" w:rsidRDefault="00465F1A" w:rsidP="00BA3060">
      <w:pPr>
        <w:spacing w:line="480" w:lineRule="auto"/>
        <w:rPr>
          <w:rFonts w:ascii="Times New Roman" w:hAnsi="Times New Roman" w:cs="Times New Roman"/>
          <w:sz w:val="24"/>
          <w:szCs w:val="24"/>
        </w:rPr>
      </w:pPr>
      <w:r>
        <w:rPr>
          <w:rFonts w:ascii="Times New Roman" w:hAnsi="Times New Roman" w:cs="Times New Roman"/>
          <w:sz w:val="24"/>
          <w:szCs w:val="24"/>
        </w:rPr>
        <w:tab/>
        <w:t>Finally, Tables 9 and 10</w:t>
      </w:r>
      <w:r w:rsidR="0015263E">
        <w:rPr>
          <w:rFonts w:ascii="Times New Roman" w:hAnsi="Times New Roman" w:cs="Times New Roman"/>
          <w:sz w:val="24"/>
          <w:szCs w:val="24"/>
        </w:rPr>
        <w:t xml:space="preserve"> present results from estimating ordered probit models of the survey responses.  In the OLS and Tobit/censored regressions, the dependent variables were made continuous from the discrete responses provided in Tables 2 and 3.  In the ordered probit </w:t>
      </w:r>
      <w:r w:rsidR="0015263E">
        <w:rPr>
          <w:rFonts w:ascii="Times New Roman" w:hAnsi="Times New Roman" w:cs="Times New Roman"/>
          <w:sz w:val="24"/>
          <w:szCs w:val="24"/>
        </w:rPr>
        <w:lastRenderedPageBreak/>
        <w:t>models, the dependent variable is the category of spending or driving the survey respondent indicated.  The results are, again, consistent with those of the OLS and the Tobit models.  White, Male, and the three income categories are individually statistically significant, though as before Male is only significant at the 10% level.  The pattern in the coefficients on the income categories is as it was above.  In the driving equation, Male and the income categories are all individually significant at the 5% level or better, with only Male not significant at the 1% level or better.  In the ordered probit equation, West North Central is statistically significant but East North Central is not.</w:t>
      </w:r>
    </w:p>
    <w:p w:rsidR="0015263E" w:rsidRDefault="0015263E" w:rsidP="00BA3060">
      <w:pPr>
        <w:spacing w:line="480" w:lineRule="auto"/>
        <w:rPr>
          <w:rFonts w:ascii="Times New Roman" w:hAnsi="Times New Roman" w:cs="Times New Roman"/>
          <w:sz w:val="24"/>
          <w:szCs w:val="24"/>
        </w:rPr>
      </w:pPr>
      <w:r>
        <w:rPr>
          <w:rFonts w:ascii="Times New Roman" w:hAnsi="Times New Roman" w:cs="Times New Roman"/>
          <w:sz w:val="24"/>
          <w:szCs w:val="24"/>
        </w:rPr>
        <w:tab/>
        <w:t>The threshold parameters are reported in Table</w:t>
      </w:r>
      <w:r w:rsidR="00465F1A">
        <w:rPr>
          <w:rFonts w:ascii="Times New Roman" w:hAnsi="Times New Roman" w:cs="Times New Roman"/>
          <w:sz w:val="24"/>
          <w:szCs w:val="24"/>
        </w:rPr>
        <w:t xml:space="preserve"> 10</w:t>
      </w:r>
      <w:r>
        <w:rPr>
          <w:rFonts w:ascii="Times New Roman" w:hAnsi="Times New Roman" w:cs="Times New Roman"/>
          <w:sz w:val="24"/>
          <w:szCs w:val="24"/>
        </w:rPr>
        <w:t xml:space="preserve">.  </w:t>
      </w:r>
      <w:r w:rsidR="0046344A">
        <w:rPr>
          <w:rFonts w:ascii="Times New Roman" w:hAnsi="Times New Roman" w:cs="Times New Roman"/>
          <w:sz w:val="24"/>
          <w:szCs w:val="24"/>
        </w:rPr>
        <w:t>The most interesting aspect of these coefficients is the first threshold value.  In both spending and</w:t>
      </w:r>
      <w:r w:rsidR="00AB2065">
        <w:rPr>
          <w:rFonts w:ascii="Times New Roman" w:hAnsi="Times New Roman" w:cs="Times New Roman"/>
          <w:sz w:val="24"/>
          <w:szCs w:val="24"/>
        </w:rPr>
        <w:t xml:space="preserve"> driving</w:t>
      </w:r>
      <w:r w:rsidR="0046344A">
        <w:rPr>
          <w:rFonts w:ascii="Times New Roman" w:hAnsi="Times New Roman" w:cs="Times New Roman"/>
          <w:sz w:val="24"/>
          <w:szCs w:val="24"/>
        </w:rPr>
        <w:t xml:space="preserve"> equations, there </w:t>
      </w:r>
      <w:r w:rsidR="00AB2065">
        <w:rPr>
          <w:rFonts w:ascii="Times New Roman" w:hAnsi="Times New Roman" w:cs="Times New Roman"/>
          <w:sz w:val="24"/>
          <w:szCs w:val="24"/>
        </w:rPr>
        <w:t xml:space="preserve">are </w:t>
      </w:r>
      <w:r w:rsidR="0046344A">
        <w:rPr>
          <w:rFonts w:ascii="Times New Roman" w:hAnsi="Times New Roman" w:cs="Times New Roman"/>
          <w:sz w:val="24"/>
          <w:szCs w:val="24"/>
        </w:rPr>
        <w:t>negative estimated thresholds below which a respondent will state zero willingness to expend resources for the Summer Olympics.  Indeed, in the driving equation the 95% confidence interval on threshold one is entirely negative values.</w:t>
      </w:r>
      <w:r w:rsidR="00012B72">
        <w:rPr>
          <w:rFonts w:ascii="Times New Roman" w:hAnsi="Times New Roman" w:cs="Times New Roman"/>
          <w:sz w:val="24"/>
          <w:szCs w:val="24"/>
        </w:rPr>
        <w:t xml:space="preserve">  In both cases, these estimated thresholds suggest that some respondents reported zero willingness to spend or to drive when in fact their willingness was negative.  Such individuals are not made better off but rather are made worse off if the US hosts the Olympics and would leave the host city to avoid the Games.</w:t>
      </w:r>
    </w:p>
    <w:p w:rsidR="00F82544" w:rsidRDefault="00F82544" w:rsidP="00BA3060">
      <w:pPr>
        <w:spacing w:line="480" w:lineRule="auto"/>
        <w:rPr>
          <w:rFonts w:ascii="Times New Roman" w:hAnsi="Times New Roman" w:cs="Times New Roman"/>
          <w:sz w:val="24"/>
          <w:szCs w:val="24"/>
        </w:rPr>
      </w:pPr>
    </w:p>
    <w:p w:rsidR="00F82544" w:rsidRDefault="00F82544" w:rsidP="00BA3060">
      <w:pPr>
        <w:spacing w:line="480" w:lineRule="auto"/>
        <w:rPr>
          <w:rFonts w:ascii="Times New Roman" w:hAnsi="Times New Roman" w:cs="Times New Roman"/>
          <w:sz w:val="24"/>
          <w:szCs w:val="24"/>
        </w:rPr>
      </w:pPr>
      <w:r>
        <w:rPr>
          <w:rFonts w:ascii="Times New Roman" w:hAnsi="Times New Roman" w:cs="Times New Roman"/>
          <w:sz w:val="24"/>
          <w:szCs w:val="24"/>
        </w:rPr>
        <w:t>Discussion and Conclusions</w:t>
      </w:r>
    </w:p>
    <w:p w:rsidR="00F82544" w:rsidRDefault="00344A73" w:rsidP="00BA3060">
      <w:pPr>
        <w:spacing w:line="480" w:lineRule="auto"/>
        <w:rPr>
          <w:rFonts w:ascii="Times New Roman" w:hAnsi="Times New Roman" w:cs="Times New Roman"/>
          <w:sz w:val="24"/>
          <w:szCs w:val="24"/>
        </w:rPr>
      </w:pPr>
      <w:r>
        <w:rPr>
          <w:rFonts w:ascii="Times New Roman" w:hAnsi="Times New Roman" w:cs="Times New Roman"/>
          <w:sz w:val="24"/>
          <w:szCs w:val="24"/>
        </w:rPr>
        <w:t xml:space="preserve">A natural question is how much the reported willingness to spend to win the Summer Olympics implies for the entire country.  </w:t>
      </w:r>
      <w:r w:rsidR="00732D98">
        <w:rPr>
          <w:rFonts w:ascii="Times New Roman" w:hAnsi="Times New Roman" w:cs="Times New Roman"/>
          <w:sz w:val="24"/>
          <w:szCs w:val="24"/>
        </w:rPr>
        <w:t xml:space="preserve">Using the mean of the reported willingness to spend ($138.27) and multiplying that by the estimated population of the country (317 million) and the proportion over 18 years of age, the result is a national willingness to spend to host the Summer Olympics </w:t>
      </w:r>
      <w:r w:rsidR="00732D98">
        <w:rPr>
          <w:rFonts w:ascii="Times New Roman" w:hAnsi="Times New Roman" w:cs="Times New Roman"/>
          <w:sz w:val="24"/>
          <w:szCs w:val="24"/>
        </w:rPr>
        <w:lastRenderedPageBreak/>
        <w:t>of $33.62 billion.</w:t>
      </w:r>
      <w:r w:rsidR="00732D98">
        <w:rPr>
          <w:rStyle w:val="a6"/>
          <w:rFonts w:ascii="Times New Roman" w:hAnsi="Times New Roman" w:cs="Times New Roman"/>
          <w:sz w:val="24"/>
          <w:szCs w:val="24"/>
        </w:rPr>
        <w:footnoteReference w:id="4"/>
      </w:r>
      <w:r w:rsidR="00732D98">
        <w:rPr>
          <w:rFonts w:ascii="Times New Roman" w:hAnsi="Times New Roman" w:cs="Times New Roman"/>
          <w:sz w:val="24"/>
          <w:szCs w:val="24"/>
        </w:rPr>
        <w:t xml:space="preserve">  </w:t>
      </w:r>
      <w:r w:rsidR="00457D8F">
        <w:rPr>
          <w:rFonts w:ascii="Times New Roman" w:hAnsi="Times New Roman" w:cs="Times New Roman"/>
          <w:sz w:val="24"/>
          <w:szCs w:val="24"/>
        </w:rPr>
        <w:t>This seems a surprisingly high number, although recent Olympic games have become extremely expensive (estimates for the Beijing 2008 games as high as $40 billion have been suggested, while the Winter 2014 games in Sochi were said to have cost a staggering $60 billion). It is likely that the US, with its substantial base of established sports and transport infrastructure, could reasonably expect to be able to host the games for well below this number. Sceptics might argue that stated willingness to pay in a survey and actual willingness to part with the dollars if required are quite different things. It may well be that actual willingness to pay could turn out to be lower</w:t>
      </w:r>
      <w:r w:rsidR="00AB2065">
        <w:rPr>
          <w:rFonts w:ascii="Times New Roman" w:hAnsi="Times New Roman" w:cs="Times New Roman"/>
          <w:sz w:val="24"/>
          <w:szCs w:val="24"/>
        </w:rPr>
        <w:t>.  As noted above, there is reason to believe our reported values are indeed biased up</w:t>
      </w:r>
      <w:r w:rsidR="00457D8F">
        <w:rPr>
          <w:rFonts w:ascii="Times New Roman" w:hAnsi="Times New Roman" w:cs="Times New Roman"/>
          <w:sz w:val="24"/>
          <w:szCs w:val="24"/>
        </w:rPr>
        <w:t xml:space="preserve">. </w:t>
      </w:r>
      <w:r w:rsidR="00585119">
        <w:rPr>
          <w:rFonts w:ascii="Times New Roman" w:hAnsi="Times New Roman" w:cs="Times New Roman"/>
          <w:sz w:val="24"/>
          <w:szCs w:val="24"/>
        </w:rPr>
        <w:t xml:space="preserve">Moreover, our ordered probit results suggest that individuals whose true willingness to pay is negative are forced by the format of the question to report a non-negative value of their willingness to pay.  </w:t>
      </w:r>
      <w:r w:rsidR="00AB2065">
        <w:rPr>
          <w:rFonts w:ascii="Times New Roman" w:hAnsi="Times New Roman" w:cs="Times New Roman"/>
          <w:sz w:val="24"/>
          <w:szCs w:val="24"/>
        </w:rPr>
        <w:t>Nonetheless</w:t>
      </w:r>
      <w:r w:rsidR="00457D8F">
        <w:rPr>
          <w:rFonts w:ascii="Times New Roman" w:hAnsi="Times New Roman" w:cs="Times New Roman"/>
          <w:sz w:val="24"/>
          <w:szCs w:val="24"/>
        </w:rPr>
        <w:t>, we believe that our results suggest that there is significant enthusiasm to host the summer games in the United States.</w:t>
      </w:r>
    </w:p>
    <w:p w:rsidR="000A3578" w:rsidRDefault="000A3578">
      <w:pPr>
        <w:rPr>
          <w:rFonts w:ascii="Times New Roman" w:hAnsi="Times New Roman" w:cs="Times New Roman"/>
          <w:sz w:val="24"/>
          <w:szCs w:val="24"/>
        </w:rPr>
      </w:pPr>
      <w:r>
        <w:rPr>
          <w:rFonts w:ascii="Times New Roman" w:hAnsi="Times New Roman" w:cs="Times New Roman"/>
          <w:sz w:val="24"/>
          <w:szCs w:val="24"/>
        </w:rPr>
        <w:br w:type="page"/>
      </w:r>
    </w:p>
    <w:p w:rsidR="007A4DC5" w:rsidRDefault="007A4DC5">
      <w:pPr>
        <w:rPr>
          <w:rFonts w:ascii="Times New Roman" w:hAnsi="Times New Roman" w:cs="Times New Roman"/>
          <w:sz w:val="24"/>
          <w:szCs w:val="24"/>
        </w:rPr>
      </w:pPr>
      <w:r>
        <w:rPr>
          <w:rFonts w:ascii="Times New Roman" w:hAnsi="Times New Roman" w:cs="Times New Roman"/>
          <w:sz w:val="24"/>
          <w:szCs w:val="24"/>
        </w:rPr>
        <w:lastRenderedPageBreak/>
        <w:t>References</w:t>
      </w:r>
    </w:p>
    <w:p w:rsidR="007A4DC5" w:rsidRDefault="006E1998" w:rsidP="0030728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Atkinson, G., S. Mourato, S. Szymanski, and E. Ozdemiroglu. (2008) “Are We Willing to Pay</w:t>
      </w:r>
      <w:r w:rsidR="0062411E">
        <w:rPr>
          <w:rFonts w:ascii="Times New Roman" w:hAnsi="Times New Roman" w:cs="Times New Roman"/>
          <w:sz w:val="24"/>
          <w:szCs w:val="24"/>
        </w:rPr>
        <w:t xml:space="preserve"> Enough to ‘Back the Bid’?:Valu</w:t>
      </w:r>
      <w:r>
        <w:rPr>
          <w:rFonts w:ascii="Times New Roman" w:hAnsi="Times New Roman" w:cs="Times New Roman"/>
          <w:sz w:val="24"/>
          <w:szCs w:val="24"/>
        </w:rPr>
        <w:t>ing the Intangible Impacts of London’s Bid to Host the 2012 Summer Olympic Games.” Urban Studies, 45(2):419-444.</w:t>
      </w:r>
    </w:p>
    <w:p w:rsidR="001B50C3" w:rsidRPr="001B50C3" w:rsidRDefault="001B50C3" w:rsidP="001B50C3">
      <w:pPr>
        <w:spacing w:after="0" w:line="240" w:lineRule="auto"/>
        <w:ind w:left="720" w:hanging="720"/>
        <w:rPr>
          <w:rFonts w:ascii="Times New Roman" w:hAnsi="Times New Roman" w:cs="Times New Roman"/>
          <w:sz w:val="24"/>
          <w:szCs w:val="24"/>
        </w:rPr>
      </w:pPr>
      <w:r w:rsidRPr="001B50C3">
        <w:rPr>
          <w:rFonts w:ascii="Times New Roman" w:hAnsi="Times New Roman" w:cs="Times New Roman"/>
          <w:sz w:val="24"/>
          <w:szCs w:val="24"/>
        </w:rPr>
        <w:t xml:space="preserve">Baade, Robert A. and Victor A. Matheson.  2004.  </w:t>
      </w:r>
      <w:bookmarkStart w:id="1" w:name="citation"/>
      <w:r w:rsidRPr="001B50C3">
        <w:rPr>
          <w:rFonts w:ascii="Times New Roman" w:hAnsi="Times New Roman" w:cs="Times New Roman"/>
          <w:sz w:val="24"/>
          <w:szCs w:val="24"/>
        </w:rPr>
        <w:t>“The Quest for the Cup: Assessing the Economic Impact of the World Cup</w:t>
      </w:r>
      <w:bookmarkEnd w:id="1"/>
      <w:r w:rsidRPr="001B50C3">
        <w:rPr>
          <w:rFonts w:ascii="Times New Roman" w:hAnsi="Times New Roman" w:cs="Times New Roman"/>
          <w:sz w:val="24"/>
          <w:szCs w:val="24"/>
        </w:rPr>
        <w:t xml:space="preserve">”, </w:t>
      </w:r>
      <w:hyperlink r:id="rId9" w:tooltip="Search for Regional Studies" w:history="1">
        <w:r w:rsidRPr="001B50C3">
          <w:rPr>
            <w:rStyle w:val="aa"/>
            <w:rFonts w:ascii="Times New Roman" w:hAnsi="Times New Roman" w:cs="Times New Roman"/>
            <w:i/>
            <w:sz w:val="24"/>
            <w:szCs w:val="24"/>
          </w:rPr>
          <w:t>Regional Studies</w:t>
        </w:r>
      </w:hyperlink>
      <w:r w:rsidRPr="001B50C3">
        <w:rPr>
          <w:rFonts w:ascii="Times New Roman" w:hAnsi="Times New Roman" w:cs="Times New Roman"/>
          <w:sz w:val="24"/>
          <w:szCs w:val="24"/>
        </w:rPr>
        <w:t>, June 2004, v. 38, iss. 4, pp. 343-54.</w:t>
      </w:r>
    </w:p>
    <w:p w:rsidR="00EE1DDC" w:rsidRDefault="007A4DC5" w:rsidP="0030728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Deaton, A. and J. Muellbauer.  (1980) </w:t>
      </w:r>
      <w:r w:rsidRPr="007A4DC5">
        <w:rPr>
          <w:rFonts w:ascii="Times New Roman" w:hAnsi="Times New Roman" w:cs="Times New Roman"/>
          <w:i/>
          <w:sz w:val="24"/>
          <w:szCs w:val="24"/>
        </w:rPr>
        <w:t>Economics and consumer behavior</w:t>
      </w:r>
      <w:r>
        <w:rPr>
          <w:rFonts w:ascii="Times New Roman" w:hAnsi="Times New Roman" w:cs="Times New Roman"/>
          <w:sz w:val="24"/>
          <w:szCs w:val="24"/>
        </w:rPr>
        <w:t>.  Cambridge</w:t>
      </w:r>
      <w:r w:rsidR="0030728C">
        <w:rPr>
          <w:rFonts w:ascii="Times New Roman" w:hAnsi="Times New Roman" w:cs="Times New Roman"/>
          <w:sz w:val="24"/>
          <w:szCs w:val="24"/>
        </w:rPr>
        <w:t xml:space="preserve"> </w:t>
      </w:r>
      <w:r>
        <w:rPr>
          <w:rFonts w:ascii="Times New Roman" w:hAnsi="Times New Roman" w:cs="Times New Roman"/>
          <w:sz w:val="24"/>
          <w:szCs w:val="24"/>
        </w:rPr>
        <w:t>University Press.</w:t>
      </w:r>
    </w:p>
    <w:p w:rsidR="00457D8F" w:rsidRPr="00652C40" w:rsidRDefault="00457D8F" w:rsidP="0030728C">
      <w:pPr>
        <w:spacing w:line="240" w:lineRule="auto"/>
        <w:ind w:left="720" w:hanging="720"/>
        <w:rPr>
          <w:rFonts w:ascii="Times New Roman" w:hAnsi="Times New Roman" w:cs="Times New Roman"/>
          <w:sz w:val="24"/>
          <w:szCs w:val="24"/>
        </w:rPr>
      </w:pPr>
      <w:r w:rsidRPr="00652C40">
        <w:rPr>
          <w:rFonts w:ascii="Times New Roman" w:hAnsi="Times New Roman" w:cs="Times New Roman"/>
          <w:color w:val="222222"/>
          <w:sz w:val="24"/>
          <w:szCs w:val="24"/>
          <w:shd w:val="clear" w:color="auto" w:fill="FFFFFF"/>
        </w:rPr>
        <w:t>Goodman, J. K., Cryder, C. E., &amp; Cheema, A. (2013). Data collection in a flat world: The strengths and weaknesses of Mechanical Turk samples.</w:t>
      </w:r>
      <w:r w:rsidRPr="00652C40">
        <w:rPr>
          <w:rStyle w:val="apple-converted-space"/>
          <w:rFonts w:ascii="Times New Roman" w:hAnsi="Times New Roman" w:cs="Times New Roman"/>
          <w:color w:val="222222"/>
          <w:sz w:val="24"/>
          <w:szCs w:val="24"/>
          <w:shd w:val="clear" w:color="auto" w:fill="FFFFFF"/>
        </w:rPr>
        <w:t> </w:t>
      </w:r>
      <w:r w:rsidRPr="00652C40">
        <w:rPr>
          <w:rFonts w:ascii="Times New Roman" w:hAnsi="Times New Roman" w:cs="Times New Roman"/>
          <w:i/>
          <w:iCs/>
          <w:color w:val="222222"/>
          <w:sz w:val="24"/>
          <w:szCs w:val="24"/>
          <w:shd w:val="clear" w:color="auto" w:fill="FFFFFF"/>
        </w:rPr>
        <w:t>Journal of Behavioral Decision Making</w:t>
      </w:r>
      <w:r w:rsidRPr="00652C40">
        <w:rPr>
          <w:rFonts w:ascii="Times New Roman" w:hAnsi="Times New Roman" w:cs="Times New Roman"/>
          <w:color w:val="222222"/>
          <w:sz w:val="24"/>
          <w:szCs w:val="24"/>
          <w:shd w:val="clear" w:color="auto" w:fill="FFFFFF"/>
        </w:rPr>
        <w:t>,</w:t>
      </w:r>
      <w:r w:rsidRPr="00652C40">
        <w:rPr>
          <w:rStyle w:val="apple-converted-space"/>
          <w:rFonts w:ascii="Times New Roman" w:hAnsi="Times New Roman" w:cs="Times New Roman"/>
          <w:color w:val="222222"/>
          <w:sz w:val="24"/>
          <w:szCs w:val="24"/>
          <w:shd w:val="clear" w:color="auto" w:fill="FFFFFF"/>
        </w:rPr>
        <w:t> </w:t>
      </w:r>
      <w:r w:rsidRPr="00652C40">
        <w:rPr>
          <w:rFonts w:ascii="Times New Roman" w:hAnsi="Times New Roman" w:cs="Times New Roman"/>
          <w:i/>
          <w:iCs/>
          <w:color w:val="222222"/>
          <w:sz w:val="24"/>
          <w:szCs w:val="24"/>
          <w:shd w:val="clear" w:color="auto" w:fill="FFFFFF"/>
        </w:rPr>
        <w:t>26</w:t>
      </w:r>
      <w:r w:rsidRPr="00652C40">
        <w:rPr>
          <w:rFonts w:ascii="Times New Roman" w:hAnsi="Times New Roman" w:cs="Times New Roman"/>
          <w:color w:val="222222"/>
          <w:sz w:val="24"/>
          <w:szCs w:val="24"/>
          <w:shd w:val="clear" w:color="auto" w:fill="FFFFFF"/>
        </w:rPr>
        <w:t>(3), 213-224.</w:t>
      </w:r>
    </w:p>
    <w:p w:rsidR="00792828" w:rsidRDefault="00792828" w:rsidP="0030728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Humphreys, B. R., B.K. Johnson, D.S. Mason, and J. C. Whitehead.  (201x) “Estimating the Value of Medal Success in the Olympic Games,” Working Paper.</w:t>
      </w:r>
    </w:p>
    <w:p w:rsidR="00792828" w:rsidRDefault="00457D8F" w:rsidP="0030728C">
      <w:pPr>
        <w:spacing w:line="240" w:lineRule="auto"/>
        <w:ind w:left="720" w:hanging="720"/>
        <w:rPr>
          <w:rFonts w:ascii="Times New Roman" w:hAnsi="Times New Roman" w:cs="Times New Roman"/>
          <w:color w:val="222222"/>
          <w:sz w:val="24"/>
          <w:szCs w:val="24"/>
          <w:shd w:val="clear" w:color="auto" w:fill="FFFFFF"/>
        </w:rPr>
      </w:pPr>
      <w:r w:rsidRPr="00652C40">
        <w:rPr>
          <w:rFonts w:ascii="Times New Roman" w:hAnsi="Times New Roman" w:cs="Times New Roman"/>
          <w:color w:val="222222"/>
          <w:sz w:val="24"/>
          <w:szCs w:val="24"/>
          <w:shd w:val="clear" w:color="auto" w:fill="FFFFFF"/>
        </w:rPr>
        <w:t xml:space="preserve">Ipeirotis, P. G. (2010). Demographics of mechanical turk. CeDER working paper </w:t>
      </w:r>
    </w:p>
    <w:p w:rsidR="00D72D95" w:rsidRDefault="00D72D95" w:rsidP="00D72D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Mackay, Duncan. (2013) “Munich sets date for referendum on whether to bid for 2022 Winter Olympics and Paralympics,” </w:t>
      </w:r>
      <w:r w:rsidRPr="00CB0224">
        <w:rPr>
          <w:rFonts w:ascii="Times New Roman" w:hAnsi="Times New Roman" w:cs="Times New Roman"/>
          <w:i/>
          <w:sz w:val="24"/>
          <w:szCs w:val="24"/>
        </w:rPr>
        <w:t>inside the games</w:t>
      </w:r>
      <w:r>
        <w:rPr>
          <w:rFonts w:ascii="Times New Roman" w:hAnsi="Times New Roman" w:cs="Times New Roman"/>
          <w:sz w:val="24"/>
          <w:szCs w:val="24"/>
        </w:rPr>
        <w:t xml:space="preserve">.  </w:t>
      </w:r>
      <w:hyperlink r:id="rId10" w:history="1">
        <w:r w:rsidRPr="00937B2E">
          <w:rPr>
            <w:rStyle w:val="aa"/>
            <w:rFonts w:ascii="Times New Roman" w:hAnsi="Times New Roman" w:cs="Times New Roman"/>
            <w:sz w:val="24"/>
            <w:szCs w:val="24"/>
          </w:rPr>
          <w:t>http://www.insidethegames.biz/olympics/winter-olympics/2022/1014547-munich-sets-date-for-referendum-on-whether-to-bid-for-2022-winter-olympics-and-paralympics</w:t>
        </w:r>
      </w:hyperlink>
      <w:r>
        <w:rPr>
          <w:rFonts w:ascii="Times New Roman" w:hAnsi="Times New Roman" w:cs="Times New Roman"/>
          <w:sz w:val="24"/>
          <w:szCs w:val="24"/>
        </w:rPr>
        <w:t xml:space="preserve"> Last accessed 24/07/2014.</w:t>
      </w:r>
    </w:p>
    <w:p w:rsidR="00D72D95" w:rsidRDefault="00D72D95" w:rsidP="0030728C">
      <w:pPr>
        <w:spacing w:line="240" w:lineRule="auto"/>
        <w:ind w:left="720" w:hanging="720"/>
        <w:rPr>
          <w:rFonts w:ascii="Times New Roman" w:hAnsi="Times New Roman" w:cs="Times New Roman"/>
          <w:color w:val="222222"/>
          <w:sz w:val="24"/>
          <w:szCs w:val="24"/>
          <w:shd w:val="clear" w:color="auto" w:fill="FFFFFF"/>
        </w:rPr>
      </w:pPr>
    </w:p>
    <w:p w:rsidR="00B1573F" w:rsidRDefault="00B1573F" w:rsidP="00B1573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Mackay, Duncan. (2014) “It is important we convince Norwegians that Oslo 2022 will not be like Sochi 2014, admits chief executive,” </w:t>
      </w:r>
      <w:r w:rsidRPr="00B65BA4">
        <w:rPr>
          <w:rFonts w:ascii="Times New Roman" w:hAnsi="Times New Roman" w:cs="Times New Roman"/>
          <w:i/>
          <w:sz w:val="24"/>
          <w:szCs w:val="24"/>
        </w:rPr>
        <w:t>inside the games</w:t>
      </w:r>
      <w:r>
        <w:rPr>
          <w:rFonts w:ascii="Times New Roman" w:hAnsi="Times New Roman" w:cs="Times New Roman"/>
          <w:sz w:val="24"/>
          <w:szCs w:val="24"/>
        </w:rPr>
        <w:t xml:space="preserve">.  </w:t>
      </w:r>
      <w:hyperlink r:id="rId11" w:history="1">
        <w:r w:rsidR="001B50C3" w:rsidRPr="003E76B9">
          <w:rPr>
            <w:rStyle w:val="aa"/>
            <w:rFonts w:ascii="Times New Roman" w:hAnsi="Times New Roman" w:cs="Times New Roman"/>
            <w:sz w:val="24"/>
            <w:szCs w:val="24"/>
          </w:rPr>
          <w:t>http://www.insidethegames.biz/olympics/winter-olympics/2022/1021147-it-is-important-we-convince-norwegians-that-oslo-2022-will-not-be-like-sochi-2014-admits-chief-executive. Last accessed 24/07/2014</w:t>
        </w:r>
      </w:hyperlink>
      <w:r>
        <w:rPr>
          <w:rFonts w:ascii="Times New Roman" w:hAnsi="Times New Roman" w:cs="Times New Roman"/>
          <w:sz w:val="24"/>
          <w:szCs w:val="24"/>
        </w:rPr>
        <w:t>.</w:t>
      </w:r>
    </w:p>
    <w:p w:rsidR="001B50C3" w:rsidRDefault="001B50C3" w:rsidP="00B1573F">
      <w:pPr>
        <w:spacing w:after="0" w:line="240" w:lineRule="auto"/>
        <w:ind w:left="720" w:hanging="720"/>
        <w:rPr>
          <w:rFonts w:ascii="Times New Roman" w:hAnsi="Times New Roman" w:cs="Times New Roman"/>
          <w:sz w:val="24"/>
          <w:szCs w:val="24"/>
        </w:rPr>
      </w:pPr>
    </w:p>
    <w:p w:rsidR="001B50C3" w:rsidRDefault="001B50C3" w:rsidP="00B1573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Porter, Philip K. and Daniel M. Chin. (2012). “Economic Impact of Sports Events,” in </w:t>
      </w:r>
      <w:r w:rsidRPr="001B50C3">
        <w:rPr>
          <w:rFonts w:ascii="Times New Roman" w:hAnsi="Times New Roman" w:cs="Times New Roman"/>
          <w:i/>
          <w:sz w:val="24"/>
          <w:szCs w:val="24"/>
        </w:rPr>
        <w:t>International Handbook on the Economics of Mega Sporting Events</w:t>
      </w:r>
      <w:r>
        <w:rPr>
          <w:rFonts w:ascii="Times New Roman" w:hAnsi="Times New Roman" w:cs="Times New Roman"/>
          <w:sz w:val="24"/>
          <w:szCs w:val="24"/>
        </w:rPr>
        <w:t>, Wolfgang Maennig and Andrew Zimbalist, eds. Edward Elgar: Northampton, Massachusetts.</w:t>
      </w:r>
    </w:p>
    <w:p w:rsidR="001B50C3" w:rsidRDefault="001B50C3" w:rsidP="00B1573F">
      <w:pPr>
        <w:spacing w:after="0" w:line="240" w:lineRule="auto"/>
        <w:ind w:left="720" w:hanging="720"/>
        <w:rPr>
          <w:rFonts w:ascii="Times New Roman" w:hAnsi="Times New Roman" w:cs="Times New Roman"/>
          <w:sz w:val="24"/>
          <w:szCs w:val="24"/>
        </w:rPr>
      </w:pPr>
    </w:p>
    <w:p w:rsidR="001B50C3" w:rsidRDefault="001B50C3" w:rsidP="001B50C3">
      <w:pPr>
        <w:spacing w:after="0" w:line="240" w:lineRule="auto"/>
        <w:ind w:left="720" w:hanging="720"/>
        <w:rPr>
          <w:rStyle w:val="medium-font"/>
          <w:rFonts w:ascii="Times New Roman" w:hAnsi="Times New Roman" w:cs="Times New Roman"/>
          <w:sz w:val="24"/>
          <w:szCs w:val="24"/>
        </w:rPr>
      </w:pPr>
      <w:r w:rsidRPr="001B50C3">
        <w:rPr>
          <w:rStyle w:val="ac"/>
          <w:rFonts w:ascii="Times New Roman" w:hAnsi="Times New Roman" w:cs="Times New Roman"/>
          <w:b w:val="0"/>
          <w:iCs/>
          <w:sz w:val="24"/>
          <w:szCs w:val="24"/>
        </w:rPr>
        <w:t>Porter</w:t>
      </w:r>
      <w:r w:rsidRPr="001B50C3">
        <w:rPr>
          <w:rStyle w:val="medium-font"/>
          <w:rFonts w:ascii="Times New Roman" w:hAnsi="Times New Roman" w:cs="Times New Roman"/>
          <w:b/>
          <w:sz w:val="24"/>
          <w:szCs w:val="24"/>
        </w:rPr>
        <w:t xml:space="preserve">, </w:t>
      </w:r>
      <w:r w:rsidRPr="001B50C3">
        <w:rPr>
          <w:rStyle w:val="ac"/>
          <w:rFonts w:ascii="Times New Roman" w:hAnsi="Times New Roman" w:cs="Times New Roman"/>
          <w:b w:val="0"/>
          <w:iCs/>
          <w:sz w:val="24"/>
          <w:szCs w:val="24"/>
        </w:rPr>
        <w:t>Philip</w:t>
      </w:r>
      <w:r w:rsidRPr="001B50C3">
        <w:rPr>
          <w:rStyle w:val="medium-font"/>
          <w:rFonts w:ascii="Times New Roman" w:hAnsi="Times New Roman" w:cs="Times New Roman"/>
          <w:sz w:val="24"/>
          <w:szCs w:val="24"/>
        </w:rPr>
        <w:t xml:space="preserve"> K. and Deborah Fletcher. 2008. </w:t>
      </w:r>
      <w:bookmarkStart w:id="2" w:name="Result_4"/>
      <w:r w:rsidRPr="001B50C3">
        <w:rPr>
          <w:rStyle w:val="medium-font"/>
          <w:rFonts w:ascii="Times New Roman" w:hAnsi="Times New Roman" w:cs="Times New Roman"/>
          <w:sz w:val="24"/>
          <w:szCs w:val="24"/>
        </w:rPr>
        <w:t>“</w:t>
      </w:r>
      <w:r w:rsidRPr="001B50C3">
        <w:rPr>
          <w:rStyle w:val="title-link-wrapper"/>
          <w:rFonts w:ascii="Times New Roman" w:hAnsi="Times New Roman" w:cs="Times New Roman"/>
          <w:sz w:val="24"/>
          <w:szCs w:val="24"/>
        </w:rPr>
        <w:t xml:space="preserve">The Economic Impact of the Olympic Games: </w:t>
      </w:r>
      <w:r w:rsidR="0009316F">
        <w:rPr>
          <w:rStyle w:val="title-link-wrapper"/>
          <w:rFonts w:ascii="Times New Roman" w:hAnsi="Times New Roman" w:cs="Times New Roman"/>
          <w:sz w:val="24"/>
          <w:szCs w:val="24"/>
        </w:rPr>
        <w:t>Ex Ante Predictions and Ex Post</w:t>
      </w:r>
      <w:r w:rsidRPr="001B50C3">
        <w:rPr>
          <w:rStyle w:val="title-link-wrapper"/>
          <w:rFonts w:ascii="Times New Roman" w:hAnsi="Times New Roman" w:cs="Times New Roman"/>
          <w:sz w:val="24"/>
          <w:szCs w:val="24"/>
        </w:rPr>
        <w:t xml:space="preserve"> Reality</w:t>
      </w:r>
      <w:bookmarkEnd w:id="2"/>
      <w:r w:rsidRPr="001B50C3">
        <w:rPr>
          <w:rStyle w:val="title-link-wrapper"/>
          <w:rFonts w:ascii="Times New Roman" w:hAnsi="Times New Roman" w:cs="Times New Roman"/>
          <w:sz w:val="24"/>
          <w:szCs w:val="24"/>
        </w:rPr>
        <w:t>,”</w:t>
      </w:r>
      <w:r w:rsidRPr="001B50C3">
        <w:rPr>
          <w:rFonts w:ascii="Times New Roman" w:hAnsi="Times New Roman" w:cs="Times New Roman"/>
          <w:sz w:val="24"/>
          <w:szCs w:val="24"/>
        </w:rPr>
        <w:t xml:space="preserve"> </w:t>
      </w:r>
      <w:r w:rsidRPr="001B50C3">
        <w:rPr>
          <w:rStyle w:val="medium-font"/>
          <w:rFonts w:ascii="Times New Roman" w:hAnsi="Times New Roman" w:cs="Times New Roman"/>
          <w:i/>
          <w:sz w:val="24"/>
          <w:szCs w:val="24"/>
        </w:rPr>
        <w:t>Journal of Sport Management,</w:t>
      </w:r>
      <w:r w:rsidRPr="001B50C3">
        <w:rPr>
          <w:rStyle w:val="medium-font"/>
          <w:rFonts w:ascii="Times New Roman" w:hAnsi="Times New Roman" w:cs="Times New Roman"/>
          <w:sz w:val="24"/>
          <w:szCs w:val="24"/>
        </w:rPr>
        <w:t xml:space="preserve"> 22(4):470-</w:t>
      </w:r>
      <w:r>
        <w:rPr>
          <w:rStyle w:val="medium-font"/>
          <w:rFonts w:ascii="Times New Roman" w:hAnsi="Times New Roman" w:cs="Times New Roman"/>
          <w:sz w:val="24"/>
          <w:szCs w:val="24"/>
        </w:rPr>
        <w:t>486.</w:t>
      </w:r>
    </w:p>
    <w:p w:rsidR="00C66D3F" w:rsidRDefault="00C66D3F" w:rsidP="001B50C3">
      <w:pPr>
        <w:spacing w:after="0" w:line="240" w:lineRule="auto"/>
        <w:ind w:left="720" w:hanging="720"/>
        <w:rPr>
          <w:rStyle w:val="medium-font"/>
          <w:rFonts w:ascii="Times New Roman" w:hAnsi="Times New Roman" w:cs="Times New Roman"/>
          <w:sz w:val="24"/>
          <w:szCs w:val="24"/>
        </w:rPr>
      </w:pPr>
    </w:p>
    <w:p w:rsidR="00C66D3F" w:rsidRDefault="00C66D3F" w:rsidP="001B50C3">
      <w:pPr>
        <w:spacing w:after="0" w:line="240" w:lineRule="auto"/>
        <w:ind w:left="720" w:hanging="720"/>
        <w:rPr>
          <w:rStyle w:val="medium-font"/>
          <w:rFonts w:ascii="Times New Roman" w:hAnsi="Times New Roman" w:cs="Times New Roman"/>
          <w:sz w:val="24"/>
          <w:szCs w:val="24"/>
        </w:rPr>
      </w:pPr>
      <w:r>
        <w:rPr>
          <w:rStyle w:val="medium-font"/>
          <w:rFonts w:ascii="Times New Roman" w:hAnsi="Times New Roman" w:cs="Times New Roman"/>
          <w:sz w:val="24"/>
          <w:szCs w:val="24"/>
        </w:rPr>
        <w:t>Sussmuth, Bernd, Malte Heyne and Wolfgang Maennig.  (2010). “Induced Civic Pride and Integration,” Oxford Bulletin of Economics and Statistics, 72(2):202-220.</w:t>
      </w:r>
    </w:p>
    <w:p w:rsidR="00C66D3F" w:rsidRDefault="00C66D3F" w:rsidP="001B50C3">
      <w:pPr>
        <w:spacing w:after="0" w:line="240" w:lineRule="auto"/>
        <w:ind w:left="720" w:hanging="720"/>
        <w:rPr>
          <w:rStyle w:val="medium-font"/>
          <w:rFonts w:ascii="Times New Roman" w:hAnsi="Times New Roman" w:cs="Times New Roman"/>
          <w:sz w:val="24"/>
          <w:szCs w:val="24"/>
        </w:rPr>
      </w:pPr>
    </w:p>
    <w:p w:rsidR="00C66D3F" w:rsidRPr="001B50C3" w:rsidRDefault="00C66D3F" w:rsidP="001B50C3">
      <w:pPr>
        <w:spacing w:after="0" w:line="240" w:lineRule="auto"/>
        <w:ind w:left="720" w:hanging="720"/>
        <w:rPr>
          <w:rStyle w:val="medium-font"/>
          <w:rFonts w:ascii="Times New Roman" w:hAnsi="Times New Roman" w:cs="Times New Roman"/>
          <w:sz w:val="24"/>
          <w:szCs w:val="24"/>
        </w:rPr>
      </w:pPr>
      <w:r>
        <w:rPr>
          <w:rStyle w:val="medium-font"/>
          <w:rFonts w:ascii="Times New Roman" w:hAnsi="Times New Roman" w:cs="Times New Roman"/>
          <w:sz w:val="24"/>
          <w:szCs w:val="24"/>
        </w:rPr>
        <w:t>Wicker, Pamela, Kirsten Hallmann, Christoph Breuer and Svenja Feiler.  (2012). “The value of Olympic success and the Intangible effects of sports events – a contingent valuation approach Germany,” European Sport Management Quarterly, 12(4):337-355.</w:t>
      </w:r>
    </w:p>
    <w:p w:rsidR="001B50C3" w:rsidRDefault="001B50C3" w:rsidP="00B1573F">
      <w:pPr>
        <w:spacing w:after="0" w:line="240" w:lineRule="auto"/>
        <w:ind w:left="720" w:hanging="720"/>
        <w:rPr>
          <w:rFonts w:ascii="Times New Roman" w:hAnsi="Times New Roman" w:cs="Times New Roman"/>
          <w:sz w:val="24"/>
          <w:szCs w:val="24"/>
        </w:rPr>
      </w:pPr>
    </w:p>
    <w:p w:rsidR="00E04214" w:rsidRPr="00E04214" w:rsidRDefault="00E04214" w:rsidP="00E04214">
      <w:pPr>
        <w:spacing w:after="0" w:line="240" w:lineRule="auto"/>
        <w:ind w:left="706" w:hanging="706"/>
        <w:jc w:val="both"/>
        <w:rPr>
          <w:rFonts w:ascii="Times New Roman" w:hAnsi="Times New Roman" w:cs="Times New Roman"/>
          <w:sz w:val="24"/>
          <w:szCs w:val="24"/>
        </w:rPr>
      </w:pPr>
      <w:r w:rsidRPr="00E04214">
        <w:rPr>
          <w:rFonts w:ascii="Times New Roman" w:hAnsi="Times New Roman" w:cs="Times New Roman"/>
          <w:sz w:val="24"/>
          <w:szCs w:val="24"/>
        </w:rPr>
        <w:lastRenderedPageBreak/>
        <w:t>Zurawski, Wojciech</w:t>
      </w:r>
      <w:r>
        <w:rPr>
          <w:rFonts w:ascii="Times New Roman" w:hAnsi="Times New Roman" w:cs="Times New Roman"/>
          <w:sz w:val="24"/>
          <w:szCs w:val="24"/>
        </w:rPr>
        <w:t>. (2014)</w:t>
      </w:r>
      <w:r w:rsidRPr="00E04214">
        <w:rPr>
          <w:rFonts w:ascii="Times New Roman" w:hAnsi="Times New Roman" w:cs="Times New Roman"/>
          <w:sz w:val="24"/>
          <w:szCs w:val="24"/>
        </w:rPr>
        <w:t xml:space="preserve">. </w:t>
      </w:r>
      <w:r>
        <w:rPr>
          <w:rFonts w:ascii="Times New Roman" w:hAnsi="Times New Roman" w:cs="Times New Roman"/>
          <w:sz w:val="24"/>
          <w:szCs w:val="24"/>
        </w:rPr>
        <w:t>“</w:t>
      </w:r>
      <w:r w:rsidRPr="00E04214">
        <w:rPr>
          <w:rFonts w:ascii="Times New Roman" w:hAnsi="Times New Roman" w:cs="Times New Roman"/>
          <w:sz w:val="24"/>
          <w:szCs w:val="24"/>
        </w:rPr>
        <w:t>UPDATE 2-Olympics-Krakow drops Olympic bid following referendum,</w:t>
      </w:r>
      <w:r>
        <w:rPr>
          <w:rFonts w:ascii="Times New Roman" w:hAnsi="Times New Roman" w:cs="Times New Roman"/>
          <w:sz w:val="24"/>
          <w:szCs w:val="24"/>
        </w:rPr>
        <w:t xml:space="preserve">” </w:t>
      </w:r>
      <w:r w:rsidRPr="00E04214">
        <w:rPr>
          <w:rFonts w:ascii="Times New Roman" w:hAnsi="Times New Roman" w:cs="Times New Roman"/>
          <w:sz w:val="24"/>
          <w:szCs w:val="24"/>
        </w:rPr>
        <w:t xml:space="preserve">Reuters, May 26, 2014.  </w:t>
      </w:r>
      <w:hyperlink r:id="rId12" w:history="1">
        <w:r w:rsidRPr="00E04214">
          <w:rPr>
            <w:rStyle w:val="aa"/>
            <w:rFonts w:ascii="Times New Roman" w:hAnsi="Times New Roman" w:cs="Times New Roman"/>
            <w:sz w:val="24"/>
            <w:szCs w:val="24"/>
          </w:rPr>
          <w:t>http://www.reuters.com/article/2014/05/26/olympics-krakow-referendum-idUSL6N0OC1K820140526</w:t>
        </w:r>
      </w:hyperlink>
      <w:r w:rsidRPr="00E04214">
        <w:rPr>
          <w:rFonts w:ascii="Times New Roman" w:hAnsi="Times New Roman" w:cs="Times New Roman"/>
          <w:sz w:val="24"/>
          <w:szCs w:val="24"/>
        </w:rPr>
        <w:t>. Last accessed 24/07/2014.</w:t>
      </w:r>
    </w:p>
    <w:p w:rsidR="00EE1DDC" w:rsidRDefault="00E04214">
      <w:pPr>
        <w:rPr>
          <w:rFonts w:ascii="Times New Roman" w:hAnsi="Times New Roman" w:cs="Times New Roman"/>
          <w:sz w:val="24"/>
          <w:szCs w:val="24"/>
        </w:rPr>
      </w:pPr>
      <w:r>
        <w:rPr>
          <w:rFonts w:cs="Arial"/>
        </w:rPr>
        <w:t xml:space="preserve"> </w:t>
      </w:r>
      <w:r w:rsidR="00EE1DDC">
        <w:rPr>
          <w:rFonts w:ascii="Times New Roman" w:hAnsi="Times New Roman" w:cs="Times New Roman"/>
          <w:sz w:val="24"/>
          <w:szCs w:val="24"/>
        </w:rPr>
        <w:br w:type="page"/>
      </w:r>
    </w:p>
    <w:p w:rsidR="00EE1DDC" w:rsidRDefault="00EE1DDC" w:rsidP="00EE1DDC">
      <w:r>
        <w:lastRenderedPageBreak/>
        <w:fldChar w:fldCharType="begin"/>
      </w:r>
      <w:r>
        <w:instrText xml:space="preserve"> LINK </w:instrText>
      </w:r>
      <w:r w:rsidR="003E3E77">
        <w:instrText xml:space="preserve">Excel.Sheet.12 "C:\\Sports\\stefan_olympic host survey\\tables.xlsx" means!R1C1:R19C5 </w:instrText>
      </w:r>
      <w:r>
        <w:instrText xml:space="preserve">\a \f 4 \h </w:instrText>
      </w:r>
      <w:r>
        <w:fldChar w:fldCharType="separate"/>
      </w:r>
    </w:p>
    <w:tbl>
      <w:tblPr>
        <w:tblW w:w="7120" w:type="dxa"/>
        <w:tblLook w:val="04A0" w:firstRow="1" w:lastRow="0" w:firstColumn="1" w:lastColumn="0" w:noHBand="0" w:noVBand="1"/>
      </w:tblPr>
      <w:tblGrid>
        <w:gridCol w:w="3382"/>
        <w:gridCol w:w="1116"/>
        <w:gridCol w:w="1116"/>
        <w:gridCol w:w="816"/>
        <w:gridCol w:w="936"/>
      </w:tblGrid>
      <w:tr w:rsidR="00EE1DDC" w:rsidRPr="00EE1DDC" w:rsidTr="00EE1DDC">
        <w:trPr>
          <w:trHeight w:val="310"/>
        </w:trPr>
        <w:tc>
          <w:tcPr>
            <w:tcW w:w="7120" w:type="dxa"/>
            <w:gridSpan w:val="5"/>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Table 1: Descriptive statistics</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 xml:space="preserve">    Variable </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Mean</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Std. Dev.</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Min</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Calibri" w:eastAsia="Times New Roman" w:hAnsi="Calibri" w:cs="Times New Roman"/>
                <w:color w:val="000000"/>
              </w:rPr>
            </w:pPr>
            <w:r w:rsidRPr="00EE1DDC">
              <w:rPr>
                <w:rFonts w:ascii="Calibri" w:eastAsia="Times New Roman" w:hAnsi="Calibri" w:cs="Times New Roman"/>
                <w:color w:val="000000"/>
              </w:rPr>
              <w:t>Max</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Reported willingness to spend</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138.27</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213.67</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1100</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Reported willingness to drive</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6.46</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7.97</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30</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Household income</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47812.32</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32626.22</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15000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120000</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Caucasian</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0.75</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0.43</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Male</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0.63</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0.48</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Age</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29.81</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9.58</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18</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79</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Finalist</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0.11</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0.31</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Mid Atlantic</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0.14</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0.34</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New England</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0.05</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0.22</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South Atlantic</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0.20</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0.40</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East South Central</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0.06</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0.23</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West South Central</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0.09</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0.28</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Mountain</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0.07</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0.26</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East North Central</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0.15</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0.36</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West North Central</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0.06</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0.23</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Pacific</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0.19</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0.39</w:t>
            </w: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0</w:t>
            </w: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jc w:val="right"/>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1</w:t>
            </w:r>
          </w:p>
        </w:tc>
      </w:tr>
      <w:tr w:rsidR="00EE1DDC" w:rsidRPr="00EE1DDC" w:rsidTr="00EE1DDC">
        <w:trPr>
          <w:trHeight w:val="310"/>
        </w:trPr>
        <w:tc>
          <w:tcPr>
            <w:tcW w:w="3382"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r w:rsidRPr="00EE1DDC">
              <w:rPr>
                <w:rFonts w:ascii="Times New Roman" w:eastAsia="Times New Roman" w:hAnsi="Times New Roman" w:cs="Times New Roman"/>
                <w:color w:val="000000"/>
                <w:sz w:val="24"/>
                <w:szCs w:val="24"/>
              </w:rPr>
              <w:t>N=1769</w:t>
            </w: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color w:val="000000"/>
                <w:sz w:val="24"/>
                <w:szCs w:val="24"/>
              </w:rPr>
            </w:pPr>
          </w:p>
        </w:tc>
        <w:tc>
          <w:tcPr>
            <w:tcW w:w="1073"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noWrap/>
            <w:vAlign w:val="bottom"/>
            <w:hideMark/>
          </w:tcPr>
          <w:p w:rsidR="00EE1DDC" w:rsidRPr="00EE1DDC" w:rsidRDefault="00EE1DDC" w:rsidP="00EE1DDC">
            <w:pPr>
              <w:spacing w:after="0" w:line="240" w:lineRule="auto"/>
              <w:rPr>
                <w:rFonts w:ascii="Times New Roman" w:eastAsia="Times New Roman" w:hAnsi="Times New Roman" w:cs="Times New Roman"/>
                <w:sz w:val="20"/>
                <w:szCs w:val="20"/>
              </w:rPr>
            </w:pPr>
          </w:p>
        </w:tc>
      </w:tr>
    </w:tbl>
    <w:p w:rsidR="00EE1DDC" w:rsidRDefault="00EE1DDC" w:rsidP="00EE1DDC">
      <w:pPr>
        <w:rPr>
          <w:rFonts w:ascii="Times New Roman" w:hAnsi="Times New Roman" w:cs="Times New Roman"/>
          <w:sz w:val="24"/>
          <w:szCs w:val="24"/>
        </w:rPr>
      </w:pPr>
      <w:r>
        <w:rPr>
          <w:rFonts w:ascii="Times New Roman" w:hAnsi="Times New Roman" w:cs="Times New Roman"/>
          <w:sz w:val="24"/>
          <w:szCs w:val="24"/>
        </w:rPr>
        <w:fldChar w:fldCharType="end"/>
      </w:r>
    </w:p>
    <w:p w:rsidR="00465F1A" w:rsidRDefault="00465F1A">
      <w:pPr>
        <w:rPr>
          <w:rFonts w:ascii="Times New Roman" w:hAnsi="Times New Roman" w:cs="Times New Roman"/>
          <w:sz w:val="24"/>
          <w:szCs w:val="24"/>
        </w:rPr>
      </w:pPr>
      <w:r>
        <w:rPr>
          <w:rFonts w:ascii="Times New Roman" w:hAnsi="Times New Roman" w:cs="Times New Roman"/>
          <w:sz w:val="24"/>
          <w:szCs w:val="24"/>
        </w:rPr>
        <w:br w:type="page"/>
      </w:r>
    </w:p>
    <w:p w:rsidR="00465F1A" w:rsidRDefault="00465F1A" w:rsidP="00465F1A">
      <w:r>
        <w:lastRenderedPageBreak/>
        <w:fldChar w:fldCharType="begin"/>
      </w:r>
      <w:r>
        <w:instrText xml:space="preserve"> LINK </w:instrText>
      </w:r>
      <w:r w:rsidR="003E3E77">
        <w:instrText xml:space="preserve">Excel.Sheet.12 "C:\\Sports\\stefan_olympic host survey\\tables.xlsx" Sheet1!R2C1:R38C5 </w:instrText>
      </w:r>
      <w:r>
        <w:instrText xml:space="preserve">\a \f 4 \h  \* MERGEFORMAT </w:instrText>
      </w:r>
      <w:r>
        <w:fldChar w:fldCharType="separate"/>
      </w:r>
    </w:p>
    <w:tbl>
      <w:tblPr>
        <w:tblW w:w="6860" w:type="dxa"/>
        <w:tblLook w:val="04A0" w:firstRow="1" w:lastRow="0" w:firstColumn="1" w:lastColumn="0" w:noHBand="0" w:noVBand="1"/>
      </w:tblPr>
      <w:tblGrid>
        <w:gridCol w:w="3435"/>
        <w:gridCol w:w="603"/>
        <w:gridCol w:w="996"/>
        <w:gridCol w:w="1090"/>
        <w:gridCol w:w="950"/>
      </w:tblGrid>
      <w:tr w:rsidR="00465F1A" w:rsidRPr="003645E6" w:rsidTr="004D767E">
        <w:trPr>
          <w:trHeight w:val="310"/>
        </w:trPr>
        <w:tc>
          <w:tcPr>
            <w:tcW w:w="6860" w:type="dxa"/>
            <w:gridSpan w:val="5"/>
            <w:tcBorders>
              <w:top w:val="nil"/>
              <w:left w:val="nil"/>
              <w:bottom w:val="nil"/>
              <w:right w:val="nil"/>
            </w:tcBorders>
            <w:shd w:val="clear" w:color="auto" w:fill="auto"/>
            <w:noWrap/>
            <w:vAlign w:val="bottom"/>
            <w:hideMark/>
          </w:tcPr>
          <w:p w:rsidR="00465F1A" w:rsidRPr="003645E6" w:rsidRDefault="00465F1A" w:rsidP="00C94266">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 xml:space="preserve">Table </w:t>
            </w:r>
            <w:r w:rsidR="00C94266">
              <w:rPr>
                <w:rFonts w:ascii="Times New Roman" w:eastAsia="Times New Roman" w:hAnsi="Times New Roman" w:cs="Times New Roman"/>
                <w:color w:val="000000"/>
                <w:sz w:val="24"/>
                <w:szCs w:val="24"/>
              </w:rPr>
              <w:t>2</w:t>
            </w:r>
            <w:r w:rsidRPr="003645E6">
              <w:rPr>
                <w:rFonts w:ascii="Times New Roman" w:eastAsia="Times New Roman" w:hAnsi="Times New Roman" w:cs="Times New Roman"/>
                <w:color w:val="000000"/>
                <w:sz w:val="24"/>
                <w:szCs w:val="24"/>
              </w:rPr>
              <w:t>: Mean and Median Willingness to Spend and Drive by Region</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Obs</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Mean</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Std. Dev.</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Median</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Mid Atlantic</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245</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151.429</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240.321</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245</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6.155</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7.802</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New England</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86</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127.907</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189.520</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86</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5.256</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7.591</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South Atlantic</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349</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151.576</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244.077</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349</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6.381</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8.227</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East South Central</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129.126</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187.152</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6.748</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8.019</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West South Central</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152</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148.026</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213.135</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152</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6.862</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8.682</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Mountain</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124</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93.548</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124.771</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124</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5.895</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6.576</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East North Central</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273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129.670</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208.898</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273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7.044</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8.299</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West North Central</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127.185</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203.977</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8.408</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8.680</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sz w:val="20"/>
                <w:szCs w:val="20"/>
              </w:rPr>
            </w:pPr>
          </w:p>
        </w:tc>
        <w:tc>
          <w:tcPr>
            <w:tcW w:w="3425" w:type="dxa"/>
            <w:gridSpan w:val="4"/>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center"/>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Pacific</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spend</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333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141.441</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204.233</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100</w:t>
            </w:r>
          </w:p>
        </w:tc>
      </w:tr>
      <w:tr w:rsidR="00465F1A" w:rsidRPr="003645E6" w:rsidTr="004D767E">
        <w:trPr>
          <w:trHeight w:val="310"/>
        </w:trPr>
        <w:tc>
          <w:tcPr>
            <w:tcW w:w="3435"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Reported willingness to drive</w:t>
            </w:r>
          </w:p>
        </w:tc>
        <w:tc>
          <w:tcPr>
            <w:tcW w:w="489"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333</w:t>
            </w:r>
          </w:p>
        </w:tc>
        <w:tc>
          <w:tcPr>
            <w:tcW w:w="95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5.886</w:t>
            </w:r>
          </w:p>
        </w:tc>
        <w:tc>
          <w:tcPr>
            <w:tcW w:w="1090"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7.418</w:t>
            </w:r>
          </w:p>
        </w:tc>
        <w:tc>
          <w:tcPr>
            <w:tcW w:w="896" w:type="dxa"/>
            <w:tcBorders>
              <w:top w:val="nil"/>
              <w:left w:val="nil"/>
              <w:bottom w:val="nil"/>
              <w:right w:val="nil"/>
            </w:tcBorders>
            <w:shd w:val="clear" w:color="auto" w:fill="auto"/>
            <w:noWrap/>
            <w:vAlign w:val="bottom"/>
            <w:hideMark/>
          </w:tcPr>
          <w:p w:rsidR="00465F1A" w:rsidRPr="003645E6" w:rsidRDefault="00465F1A" w:rsidP="004D767E">
            <w:pPr>
              <w:spacing w:after="0" w:line="240" w:lineRule="auto"/>
              <w:jc w:val="right"/>
              <w:rPr>
                <w:rFonts w:ascii="Times New Roman" w:eastAsia="Times New Roman" w:hAnsi="Times New Roman" w:cs="Times New Roman"/>
                <w:color w:val="000000"/>
                <w:sz w:val="24"/>
                <w:szCs w:val="24"/>
              </w:rPr>
            </w:pPr>
            <w:r w:rsidRPr="003645E6">
              <w:rPr>
                <w:rFonts w:ascii="Times New Roman" w:eastAsia="Times New Roman" w:hAnsi="Times New Roman" w:cs="Times New Roman"/>
                <w:color w:val="000000"/>
                <w:sz w:val="24"/>
                <w:szCs w:val="24"/>
              </w:rPr>
              <w:t>4</w:t>
            </w:r>
          </w:p>
        </w:tc>
      </w:tr>
    </w:tbl>
    <w:p w:rsidR="00465F1A" w:rsidRDefault="00465F1A" w:rsidP="00465F1A">
      <w:pPr>
        <w:rPr>
          <w:rFonts w:ascii="Times New Roman" w:hAnsi="Times New Roman" w:cs="Times New Roman"/>
          <w:sz w:val="24"/>
          <w:szCs w:val="24"/>
        </w:rPr>
      </w:pPr>
      <w:r>
        <w:rPr>
          <w:rFonts w:ascii="Times New Roman" w:hAnsi="Times New Roman" w:cs="Times New Roman"/>
          <w:sz w:val="24"/>
          <w:szCs w:val="24"/>
        </w:rPr>
        <w:fldChar w:fldCharType="end"/>
      </w:r>
    </w:p>
    <w:p w:rsidR="00465F1A" w:rsidRDefault="00465F1A" w:rsidP="00EE1DDC">
      <w:pPr>
        <w:rPr>
          <w:rFonts w:ascii="Times New Roman" w:hAnsi="Times New Roman" w:cs="Times New Roman"/>
          <w:sz w:val="24"/>
          <w:szCs w:val="24"/>
        </w:rPr>
      </w:pPr>
    </w:p>
    <w:p w:rsidR="00EE1DDC" w:rsidRDefault="00EE1DDC" w:rsidP="00EE1DDC">
      <w:pPr>
        <w:rPr>
          <w:rFonts w:ascii="Times New Roman" w:hAnsi="Times New Roman" w:cs="Times New Roman"/>
          <w:sz w:val="24"/>
          <w:szCs w:val="24"/>
        </w:rPr>
      </w:pPr>
    </w:p>
    <w:tbl>
      <w:tblPr>
        <w:tblW w:w="6580" w:type="dxa"/>
        <w:tblLook w:val="04A0" w:firstRow="1" w:lastRow="0" w:firstColumn="1" w:lastColumn="0" w:noHBand="0" w:noVBand="1"/>
      </w:tblPr>
      <w:tblGrid>
        <w:gridCol w:w="5140"/>
        <w:gridCol w:w="716"/>
        <w:gridCol w:w="936"/>
        <w:gridCol w:w="756"/>
      </w:tblGrid>
      <w:tr w:rsidR="00C321CA" w:rsidRPr="00C321CA" w:rsidTr="00C321CA">
        <w:trPr>
          <w:trHeight w:val="310"/>
        </w:trPr>
        <w:tc>
          <w:tcPr>
            <w:tcW w:w="6580" w:type="dxa"/>
            <w:gridSpan w:val="4"/>
            <w:tcBorders>
              <w:top w:val="nil"/>
              <w:left w:val="nil"/>
              <w:bottom w:val="nil"/>
              <w:right w:val="nil"/>
            </w:tcBorders>
            <w:shd w:val="clear" w:color="auto" w:fill="auto"/>
            <w:noWrap/>
            <w:vAlign w:val="bottom"/>
            <w:hideMark/>
          </w:tcPr>
          <w:p w:rsidR="00C321CA" w:rsidRPr="00C321CA" w:rsidRDefault="00465F1A" w:rsidP="00C321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3</w:t>
            </w:r>
            <w:r w:rsidR="00C321CA" w:rsidRPr="00C321CA">
              <w:rPr>
                <w:rFonts w:ascii="Times New Roman" w:eastAsia="Times New Roman" w:hAnsi="Times New Roman" w:cs="Times New Roman"/>
                <w:color w:val="000000"/>
                <w:sz w:val="24"/>
                <w:szCs w:val="24"/>
              </w:rPr>
              <w:t>: Reported willingness to pay</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Freq.</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Percent</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Cum.</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21CA">
              <w:rPr>
                <w:rFonts w:ascii="Times New Roman" w:eastAsia="Times New Roman" w:hAnsi="Times New Roman" w:cs="Times New Roman"/>
                <w:color w:val="000000"/>
                <w:sz w:val="24"/>
                <w:szCs w:val="24"/>
              </w:rPr>
              <w:t xml:space="preserve">$0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691</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39.06</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39.06</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$1-200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727</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41.1</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80.16</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$201-400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180</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10.18</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90.34</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$401-600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93</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5.26</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95.6</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$601-800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28</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1.58</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97.18</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$801-1000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16</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0.9</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98.08</w:t>
            </w:r>
          </w:p>
        </w:tc>
      </w:tr>
      <w:tr w:rsidR="00C321CA" w:rsidRPr="00C321CA" w:rsidTr="00C321CA">
        <w:trPr>
          <w:trHeight w:val="310"/>
        </w:trPr>
        <w:tc>
          <w:tcPr>
            <w:tcW w:w="51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More$1000 </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34</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1.92</w:t>
            </w:r>
          </w:p>
        </w:tc>
        <w:tc>
          <w:tcPr>
            <w:tcW w:w="48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100</w:t>
            </w:r>
          </w:p>
        </w:tc>
      </w:tr>
    </w:tbl>
    <w:p w:rsidR="00CD2FB9" w:rsidRDefault="00CD2FB9">
      <w:pPr>
        <w:rPr>
          <w:rFonts w:ascii="Times New Roman" w:hAnsi="Times New Roman" w:cs="Times New Roman"/>
          <w:sz w:val="24"/>
          <w:szCs w:val="24"/>
        </w:rPr>
      </w:pPr>
    </w:p>
    <w:tbl>
      <w:tblPr>
        <w:tblW w:w="7448" w:type="dxa"/>
        <w:tblLook w:val="04A0" w:firstRow="1" w:lastRow="0" w:firstColumn="1" w:lastColumn="0" w:noHBand="0" w:noVBand="1"/>
      </w:tblPr>
      <w:tblGrid>
        <w:gridCol w:w="5040"/>
        <w:gridCol w:w="716"/>
        <w:gridCol w:w="936"/>
        <w:gridCol w:w="756"/>
      </w:tblGrid>
      <w:tr w:rsidR="00C321CA" w:rsidRPr="00C321CA" w:rsidTr="00C321CA">
        <w:trPr>
          <w:trHeight w:val="310"/>
        </w:trPr>
        <w:tc>
          <w:tcPr>
            <w:tcW w:w="7448" w:type="dxa"/>
            <w:gridSpan w:val="4"/>
            <w:tcBorders>
              <w:top w:val="nil"/>
              <w:left w:val="nil"/>
              <w:bottom w:val="nil"/>
              <w:right w:val="nil"/>
            </w:tcBorders>
            <w:shd w:val="clear" w:color="auto" w:fill="auto"/>
            <w:noWrap/>
            <w:vAlign w:val="bottom"/>
            <w:hideMark/>
          </w:tcPr>
          <w:p w:rsidR="00C321CA" w:rsidRPr="00C321CA" w:rsidRDefault="00465F1A" w:rsidP="00C321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4</w:t>
            </w:r>
            <w:r w:rsidR="00C321CA" w:rsidRPr="00C321CA">
              <w:rPr>
                <w:rFonts w:ascii="Times New Roman" w:eastAsia="Times New Roman" w:hAnsi="Times New Roman" w:cs="Times New Roman"/>
                <w:color w:val="000000"/>
                <w:sz w:val="24"/>
                <w:szCs w:val="24"/>
              </w:rPr>
              <w:t>: Reported willingness to drive</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Freq.</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Percent</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Cum.</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None at all </w:t>
            </w: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273</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15.43</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15.43</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0-2 driving hours </w:t>
            </w: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378</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21.37</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36.8</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2-6 driving hours </w:t>
            </w: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528</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29.85</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66.65</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6-12 driving hours </w:t>
            </w: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354</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20.01</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86.66</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12-24 driving hours </w:t>
            </w: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111</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6.27</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92.93</w:t>
            </w:r>
          </w:p>
        </w:tc>
      </w:tr>
      <w:tr w:rsidR="00C321CA" w:rsidRPr="00C321CA" w:rsidTr="00C321CA">
        <w:trPr>
          <w:trHeight w:val="310"/>
        </w:trPr>
        <w:tc>
          <w:tcPr>
            <w:tcW w:w="5040"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 xml:space="preserve">  24+ driving hours </w:t>
            </w:r>
          </w:p>
        </w:tc>
        <w:tc>
          <w:tcPr>
            <w:tcW w:w="71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125</w:t>
            </w:r>
          </w:p>
        </w:tc>
        <w:tc>
          <w:tcPr>
            <w:tcW w:w="93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7.07</w:t>
            </w:r>
          </w:p>
        </w:tc>
        <w:tc>
          <w:tcPr>
            <w:tcW w:w="756" w:type="dxa"/>
            <w:tcBorders>
              <w:top w:val="nil"/>
              <w:left w:val="nil"/>
              <w:bottom w:val="nil"/>
              <w:right w:val="nil"/>
            </w:tcBorders>
            <w:shd w:val="clear" w:color="auto" w:fill="auto"/>
            <w:noWrap/>
            <w:vAlign w:val="bottom"/>
            <w:hideMark/>
          </w:tcPr>
          <w:p w:rsidR="00C321CA" w:rsidRPr="00C321CA" w:rsidRDefault="00C321CA" w:rsidP="00C321CA">
            <w:pPr>
              <w:spacing w:after="0" w:line="240" w:lineRule="auto"/>
              <w:jc w:val="right"/>
              <w:rPr>
                <w:rFonts w:ascii="Times New Roman" w:eastAsia="Times New Roman" w:hAnsi="Times New Roman" w:cs="Times New Roman"/>
                <w:color w:val="000000"/>
                <w:sz w:val="24"/>
                <w:szCs w:val="24"/>
              </w:rPr>
            </w:pPr>
            <w:r w:rsidRPr="00C321CA">
              <w:rPr>
                <w:rFonts w:ascii="Times New Roman" w:eastAsia="Times New Roman" w:hAnsi="Times New Roman" w:cs="Times New Roman"/>
                <w:color w:val="000000"/>
                <w:sz w:val="24"/>
                <w:szCs w:val="24"/>
              </w:rPr>
              <w:t>100</w:t>
            </w:r>
          </w:p>
        </w:tc>
      </w:tr>
    </w:tbl>
    <w:p w:rsidR="008178BB" w:rsidRDefault="008178BB">
      <w:pPr>
        <w:rPr>
          <w:rFonts w:ascii="Times New Roman" w:hAnsi="Times New Roman" w:cs="Times New Roman"/>
          <w:sz w:val="24"/>
          <w:szCs w:val="24"/>
        </w:rPr>
      </w:pPr>
    </w:p>
    <w:tbl>
      <w:tblPr>
        <w:tblW w:w="6200" w:type="dxa"/>
        <w:tblLook w:val="04A0" w:firstRow="1" w:lastRow="0" w:firstColumn="1" w:lastColumn="0" w:noHBand="0" w:noVBand="1"/>
      </w:tblPr>
      <w:tblGrid>
        <w:gridCol w:w="4760"/>
        <w:gridCol w:w="716"/>
        <w:gridCol w:w="936"/>
        <w:gridCol w:w="756"/>
      </w:tblGrid>
      <w:tr w:rsidR="004F36AD" w:rsidRPr="004F36AD" w:rsidTr="004F36AD">
        <w:trPr>
          <w:trHeight w:val="310"/>
        </w:trPr>
        <w:tc>
          <w:tcPr>
            <w:tcW w:w="6200" w:type="dxa"/>
            <w:gridSpan w:val="4"/>
            <w:tcBorders>
              <w:top w:val="nil"/>
              <w:left w:val="nil"/>
              <w:bottom w:val="nil"/>
              <w:right w:val="nil"/>
            </w:tcBorders>
            <w:shd w:val="clear" w:color="auto" w:fill="auto"/>
            <w:noWrap/>
            <w:vAlign w:val="bottom"/>
            <w:hideMark/>
          </w:tcPr>
          <w:p w:rsidR="004F36AD" w:rsidRPr="004F36AD" w:rsidRDefault="00465F1A" w:rsidP="004F36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5</w:t>
            </w:r>
            <w:r w:rsidR="004F36AD" w:rsidRPr="004F36AD">
              <w:rPr>
                <w:rFonts w:ascii="Times New Roman" w:eastAsia="Times New Roman" w:hAnsi="Times New Roman" w:cs="Times New Roman"/>
                <w:color w:val="000000"/>
                <w:sz w:val="24"/>
                <w:szCs w:val="24"/>
              </w:rPr>
              <w:t xml:space="preserve">: Reported income </w:t>
            </w:r>
          </w:p>
        </w:tc>
      </w:tr>
      <w:tr w:rsidR="004F36AD" w:rsidRPr="004F36AD" w:rsidTr="004F36AD">
        <w:trPr>
          <w:trHeight w:val="310"/>
        </w:trPr>
        <w:tc>
          <w:tcPr>
            <w:tcW w:w="476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Freq.</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Percent</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Cum.</w:t>
            </w:r>
          </w:p>
        </w:tc>
      </w:tr>
      <w:tr w:rsidR="004F36AD" w:rsidRPr="004F36AD" w:rsidTr="004F36AD">
        <w:trPr>
          <w:trHeight w:val="310"/>
        </w:trPr>
        <w:tc>
          <w:tcPr>
            <w:tcW w:w="476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 xml:space="preserve">        $0-$30,000 </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643</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36.35</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36.35</w:t>
            </w:r>
          </w:p>
        </w:tc>
      </w:tr>
      <w:tr w:rsidR="004F36AD" w:rsidRPr="004F36AD" w:rsidTr="004F36AD">
        <w:trPr>
          <w:trHeight w:val="310"/>
        </w:trPr>
        <w:tc>
          <w:tcPr>
            <w:tcW w:w="476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 xml:space="preserve">   $30,000-$60,000 </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611</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34.54</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70.89</w:t>
            </w:r>
          </w:p>
        </w:tc>
      </w:tr>
      <w:tr w:rsidR="004F36AD" w:rsidRPr="004F36AD" w:rsidTr="004F36AD">
        <w:trPr>
          <w:trHeight w:val="310"/>
        </w:trPr>
        <w:tc>
          <w:tcPr>
            <w:tcW w:w="476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 xml:space="preserve">  $60,000-$100,000 </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359</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20.29</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91.18</w:t>
            </w:r>
          </w:p>
        </w:tc>
      </w:tr>
      <w:tr w:rsidR="004F36AD" w:rsidRPr="004F36AD" w:rsidTr="004F36AD">
        <w:trPr>
          <w:trHeight w:val="310"/>
        </w:trPr>
        <w:tc>
          <w:tcPr>
            <w:tcW w:w="476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 xml:space="preserve">More than $100,000 </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156</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8.82</w:t>
            </w:r>
          </w:p>
        </w:tc>
        <w:tc>
          <w:tcPr>
            <w:tcW w:w="480" w:type="dxa"/>
            <w:tcBorders>
              <w:top w:val="nil"/>
              <w:left w:val="nil"/>
              <w:bottom w:val="nil"/>
              <w:right w:val="nil"/>
            </w:tcBorders>
            <w:shd w:val="clear" w:color="auto" w:fill="auto"/>
            <w:noWrap/>
            <w:vAlign w:val="bottom"/>
            <w:hideMark/>
          </w:tcPr>
          <w:p w:rsidR="004F36AD" w:rsidRPr="004F36AD" w:rsidRDefault="004F36AD" w:rsidP="004F36AD">
            <w:pPr>
              <w:spacing w:after="0" w:line="240" w:lineRule="auto"/>
              <w:jc w:val="right"/>
              <w:rPr>
                <w:rFonts w:ascii="Times New Roman" w:eastAsia="Times New Roman" w:hAnsi="Times New Roman" w:cs="Times New Roman"/>
                <w:color w:val="000000"/>
                <w:sz w:val="24"/>
                <w:szCs w:val="24"/>
              </w:rPr>
            </w:pPr>
            <w:r w:rsidRPr="004F36AD">
              <w:rPr>
                <w:rFonts w:ascii="Times New Roman" w:eastAsia="Times New Roman" w:hAnsi="Times New Roman" w:cs="Times New Roman"/>
                <w:color w:val="000000"/>
                <w:sz w:val="24"/>
                <w:szCs w:val="24"/>
              </w:rPr>
              <w:t>100</w:t>
            </w:r>
          </w:p>
        </w:tc>
      </w:tr>
    </w:tbl>
    <w:p w:rsidR="004F36AD" w:rsidRDefault="004F36AD">
      <w:pPr>
        <w:rPr>
          <w:rFonts w:ascii="Times New Roman" w:hAnsi="Times New Roman" w:cs="Times New Roman"/>
          <w:sz w:val="24"/>
          <w:szCs w:val="24"/>
        </w:rPr>
      </w:pPr>
    </w:p>
    <w:p w:rsidR="005879E7" w:rsidRDefault="005879E7">
      <w:pPr>
        <w:rPr>
          <w:rFonts w:ascii="Times New Roman" w:hAnsi="Times New Roman" w:cs="Times New Roman"/>
          <w:sz w:val="24"/>
          <w:szCs w:val="24"/>
        </w:rPr>
      </w:pPr>
    </w:p>
    <w:tbl>
      <w:tblPr>
        <w:tblW w:w="4701" w:type="dxa"/>
        <w:tblLook w:val="04A0" w:firstRow="1" w:lastRow="0" w:firstColumn="1" w:lastColumn="0" w:noHBand="0" w:noVBand="1"/>
      </w:tblPr>
      <w:tblGrid>
        <w:gridCol w:w="2342"/>
        <w:gridCol w:w="716"/>
        <w:gridCol w:w="956"/>
        <w:gridCol w:w="756"/>
      </w:tblGrid>
      <w:tr w:rsidR="005879E7" w:rsidRPr="005879E7" w:rsidTr="005879E7">
        <w:trPr>
          <w:trHeight w:val="310"/>
        </w:trPr>
        <w:tc>
          <w:tcPr>
            <w:tcW w:w="4701" w:type="dxa"/>
            <w:gridSpan w:val="4"/>
            <w:tcBorders>
              <w:top w:val="nil"/>
              <w:left w:val="nil"/>
              <w:bottom w:val="nil"/>
              <w:right w:val="nil"/>
            </w:tcBorders>
            <w:shd w:val="clear" w:color="auto" w:fill="auto"/>
            <w:noWrap/>
            <w:vAlign w:val="bottom"/>
            <w:hideMark/>
          </w:tcPr>
          <w:p w:rsidR="005879E7" w:rsidRPr="005879E7" w:rsidRDefault="00465F1A" w:rsidP="005879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6</w:t>
            </w:r>
            <w:r w:rsidR="005879E7" w:rsidRPr="005879E7">
              <w:rPr>
                <w:rFonts w:ascii="Times New Roman" w:eastAsia="Times New Roman" w:hAnsi="Times New Roman" w:cs="Times New Roman"/>
                <w:color w:val="000000"/>
                <w:sz w:val="24"/>
                <w:szCs w:val="24"/>
              </w:rPr>
              <w:t>: Destination choices</w:t>
            </w:r>
          </w:p>
        </w:tc>
      </w:tr>
      <w:tr w:rsidR="005879E7" w:rsidRPr="005879E7" w:rsidTr="005879E7">
        <w:trPr>
          <w:trHeight w:val="310"/>
        </w:trPr>
        <w:tc>
          <w:tcPr>
            <w:tcW w:w="2342"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p>
        </w:tc>
        <w:tc>
          <w:tcPr>
            <w:tcW w:w="676"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Freq.</w:t>
            </w:r>
          </w:p>
        </w:tc>
        <w:tc>
          <w:tcPr>
            <w:tcW w:w="956"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Percent</w:t>
            </w:r>
          </w:p>
        </w:tc>
        <w:tc>
          <w:tcPr>
            <w:tcW w:w="727"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Cum.</w:t>
            </w:r>
          </w:p>
        </w:tc>
      </w:tr>
      <w:tr w:rsidR="005879E7" w:rsidRPr="005879E7" w:rsidTr="005879E7">
        <w:trPr>
          <w:trHeight w:val="310"/>
        </w:trPr>
        <w:tc>
          <w:tcPr>
            <w:tcW w:w="2342"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Disneyland</w:t>
            </w:r>
          </w:p>
        </w:tc>
        <w:tc>
          <w:tcPr>
            <w:tcW w:w="676"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536</w:t>
            </w:r>
          </w:p>
        </w:tc>
        <w:tc>
          <w:tcPr>
            <w:tcW w:w="956"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30.3</w:t>
            </w:r>
            <w:r w:rsidR="00C23FB8">
              <w:rPr>
                <w:rFonts w:ascii="Times New Roman" w:eastAsia="Times New Roman" w:hAnsi="Times New Roman" w:cs="Times New Roman"/>
                <w:color w:val="000000"/>
                <w:sz w:val="24"/>
                <w:szCs w:val="24"/>
              </w:rPr>
              <w:t>3</w:t>
            </w:r>
          </w:p>
        </w:tc>
        <w:tc>
          <w:tcPr>
            <w:tcW w:w="727"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30.3</w:t>
            </w:r>
            <w:r w:rsidR="00C23FB8">
              <w:rPr>
                <w:rFonts w:ascii="Times New Roman" w:eastAsia="Times New Roman" w:hAnsi="Times New Roman" w:cs="Times New Roman"/>
                <w:color w:val="000000"/>
                <w:sz w:val="24"/>
                <w:szCs w:val="24"/>
              </w:rPr>
              <w:t>3</w:t>
            </w:r>
          </w:p>
        </w:tc>
      </w:tr>
      <w:tr w:rsidR="005879E7" w:rsidRPr="005879E7" w:rsidTr="005879E7">
        <w:trPr>
          <w:trHeight w:val="310"/>
        </w:trPr>
        <w:tc>
          <w:tcPr>
            <w:tcW w:w="2342"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Las Vegas</w:t>
            </w:r>
          </w:p>
        </w:tc>
        <w:tc>
          <w:tcPr>
            <w:tcW w:w="676"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52</w:t>
            </w:r>
            <w:r w:rsidR="00C23FB8">
              <w:rPr>
                <w:rFonts w:ascii="Times New Roman" w:eastAsia="Times New Roman" w:hAnsi="Times New Roman" w:cs="Times New Roman"/>
                <w:color w:val="000000"/>
                <w:sz w:val="24"/>
                <w:szCs w:val="24"/>
              </w:rPr>
              <w:t>6</w:t>
            </w:r>
          </w:p>
        </w:tc>
        <w:tc>
          <w:tcPr>
            <w:tcW w:w="956"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29.</w:t>
            </w:r>
            <w:r w:rsidR="00C23FB8">
              <w:rPr>
                <w:rFonts w:ascii="Times New Roman" w:eastAsia="Times New Roman" w:hAnsi="Times New Roman" w:cs="Times New Roman"/>
                <w:color w:val="000000"/>
                <w:sz w:val="24"/>
                <w:szCs w:val="24"/>
              </w:rPr>
              <w:t>77</w:t>
            </w:r>
          </w:p>
        </w:tc>
        <w:tc>
          <w:tcPr>
            <w:tcW w:w="727"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60.1</w:t>
            </w:r>
            <w:r w:rsidR="00C23FB8">
              <w:rPr>
                <w:rFonts w:ascii="Times New Roman" w:eastAsia="Times New Roman" w:hAnsi="Times New Roman" w:cs="Times New Roman"/>
                <w:color w:val="000000"/>
                <w:sz w:val="24"/>
                <w:szCs w:val="24"/>
              </w:rPr>
              <w:t>0</w:t>
            </w:r>
          </w:p>
        </w:tc>
      </w:tr>
      <w:tr w:rsidR="005879E7" w:rsidRPr="005879E7" w:rsidTr="005879E7">
        <w:trPr>
          <w:trHeight w:val="310"/>
        </w:trPr>
        <w:tc>
          <w:tcPr>
            <w:tcW w:w="2342"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Washington, DC</w:t>
            </w:r>
          </w:p>
        </w:tc>
        <w:tc>
          <w:tcPr>
            <w:tcW w:w="676"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282</w:t>
            </w:r>
          </w:p>
        </w:tc>
        <w:tc>
          <w:tcPr>
            <w:tcW w:w="956"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15.9</w:t>
            </w:r>
            <w:r w:rsidR="00C23FB8">
              <w:rPr>
                <w:rFonts w:ascii="Times New Roman" w:eastAsia="Times New Roman" w:hAnsi="Times New Roman" w:cs="Times New Roman"/>
                <w:color w:val="000000"/>
                <w:sz w:val="24"/>
                <w:szCs w:val="24"/>
              </w:rPr>
              <w:t>6</w:t>
            </w:r>
          </w:p>
        </w:tc>
        <w:tc>
          <w:tcPr>
            <w:tcW w:w="727" w:type="dxa"/>
            <w:tcBorders>
              <w:top w:val="nil"/>
              <w:left w:val="nil"/>
              <w:bottom w:val="nil"/>
              <w:right w:val="nil"/>
            </w:tcBorders>
            <w:shd w:val="clear" w:color="auto" w:fill="auto"/>
            <w:noWrap/>
            <w:vAlign w:val="bottom"/>
            <w:hideMark/>
          </w:tcPr>
          <w:p w:rsidR="005879E7" w:rsidRPr="005879E7" w:rsidRDefault="005879E7" w:rsidP="00C23FB8">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76.0</w:t>
            </w:r>
            <w:r w:rsidR="00C23FB8">
              <w:rPr>
                <w:rFonts w:ascii="Times New Roman" w:eastAsia="Times New Roman" w:hAnsi="Times New Roman" w:cs="Times New Roman"/>
                <w:color w:val="000000"/>
                <w:sz w:val="24"/>
                <w:szCs w:val="24"/>
              </w:rPr>
              <w:t>6</w:t>
            </w:r>
          </w:p>
        </w:tc>
      </w:tr>
      <w:tr w:rsidR="005879E7" w:rsidRPr="005879E7" w:rsidTr="005879E7">
        <w:trPr>
          <w:trHeight w:val="310"/>
        </w:trPr>
        <w:tc>
          <w:tcPr>
            <w:tcW w:w="2342"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Summer Olympics</w:t>
            </w:r>
          </w:p>
        </w:tc>
        <w:tc>
          <w:tcPr>
            <w:tcW w:w="676"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423</w:t>
            </w:r>
          </w:p>
        </w:tc>
        <w:tc>
          <w:tcPr>
            <w:tcW w:w="956"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23.93</w:t>
            </w:r>
          </w:p>
        </w:tc>
        <w:tc>
          <w:tcPr>
            <w:tcW w:w="727" w:type="dxa"/>
            <w:tcBorders>
              <w:top w:val="nil"/>
              <w:left w:val="nil"/>
              <w:bottom w:val="nil"/>
              <w:right w:val="nil"/>
            </w:tcBorders>
            <w:shd w:val="clear" w:color="auto" w:fill="auto"/>
            <w:noWrap/>
            <w:vAlign w:val="bottom"/>
            <w:hideMark/>
          </w:tcPr>
          <w:p w:rsidR="005879E7" w:rsidRPr="005879E7" w:rsidRDefault="005879E7" w:rsidP="005879E7">
            <w:pPr>
              <w:spacing w:after="0" w:line="240" w:lineRule="auto"/>
              <w:jc w:val="right"/>
              <w:rPr>
                <w:rFonts w:ascii="Times New Roman" w:eastAsia="Times New Roman" w:hAnsi="Times New Roman" w:cs="Times New Roman"/>
                <w:color w:val="000000"/>
                <w:sz w:val="24"/>
                <w:szCs w:val="24"/>
              </w:rPr>
            </w:pPr>
            <w:r w:rsidRPr="005879E7">
              <w:rPr>
                <w:rFonts w:ascii="Times New Roman" w:eastAsia="Times New Roman" w:hAnsi="Times New Roman" w:cs="Times New Roman"/>
                <w:color w:val="000000"/>
                <w:sz w:val="24"/>
                <w:szCs w:val="24"/>
              </w:rPr>
              <w:t>100</w:t>
            </w:r>
          </w:p>
        </w:tc>
      </w:tr>
    </w:tbl>
    <w:p w:rsidR="00BE5493" w:rsidRDefault="00BE5493">
      <w:pPr>
        <w:rPr>
          <w:rFonts w:ascii="Times New Roman" w:hAnsi="Times New Roman" w:cs="Times New Roman"/>
          <w:sz w:val="24"/>
          <w:szCs w:val="24"/>
        </w:rPr>
      </w:pPr>
    </w:p>
    <w:p w:rsidR="00BE5493" w:rsidRDefault="00BE5493">
      <w:pPr>
        <w:rPr>
          <w:rFonts w:ascii="Times New Roman" w:hAnsi="Times New Roman" w:cs="Times New Roman"/>
          <w:sz w:val="24"/>
          <w:szCs w:val="24"/>
        </w:rPr>
      </w:pPr>
      <w:r>
        <w:rPr>
          <w:rFonts w:ascii="Times New Roman" w:hAnsi="Times New Roman" w:cs="Times New Roman"/>
          <w:sz w:val="24"/>
          <w:szCs w:val="24"/>
        </w:rPr>
        <w:br w:type="page"/>
      </w:r>
    </w:p>
    <w:p w:rsidR="00193275" w:rsidRDefault="00193275">
      <w:r>
        <w:lastRenderedPageBreak/>
        <w:fldChar w:fldCharType="begin"/>
      </w:r>
      <w:r>
        <w:instrText xml:space="preserve"> LINK </w:instrText>
      </w:r>
      <w:r w:rsidR="003E3E77">
        <w:instrText xml:space="preserve">Excel.Sheet.12 "C:\\Sports\\stefan_olympic host survey\\tables.xlsx" ols-tobit!R2C18:R22C24 </w:instrText>
      </w:r>
      <w:r>
        <w:instrText xml:space="preserve">\a \f 4 \h  \* MERGEFORMAT </w:instrText>
      </w:r>
      <w:r>
        <w:fldChar w:fldCharType="separate"/>
      </w:r>
    </w:p>
    <w:tbl>
      <w:tblPr>
        <w:tblW w:w="8280" w:type="dxa"/>
        <w:tblLook w:val="04A0" w:firstRow="1" w:lastRow="0" w:firstColumn="1" w:lastColumn="0" w:noHBand="0" w:noVBand="1"/>
      </w:tblPr>
      <w:tblGrid>
        <w:gridCol w:w="2298"/>
        <w:gridCol w:w="996"/>
        <w:gridCol w:w="1127"/>
        <w:gridCol w:w="979"/>
        <w:gridCol w:w="900"/>
        <w:gridCol w:w="963"/>
        <w:gridCol w:w="1017"/>
      </w:tblGrid>
      <w:tr w:rsidR="00193275" w:rsidRPr="00193275" w:rsidTr="00193275">
        <w:trPr>
          <w:trHeight w:val="310"/>
        </w:trPr>
        <w:tc>
          <w:tcPr>
            <w:tcW w:w="8280" w:type="dxa"/>
            <w:gridSpan w:val="7"/>
            <w:tcBorders>
              <w:top w:val="nil"/>
              <w:left w:val="nil"/>
              <w:bottom w:val="nil"/>
              <w:right w:val="nil"/>
            </w:tcBorders>
            <w:shd w:val="clear" w:color="auto" w:fill="auto"/>
            <w:noWrap/>
            <w:vAlign w:val="bottom"/>
            <w:hideMark/>
          </w:tcPr>
          <w:p w:rsidR="00193275" w:rsidRPr="00193275" w:rsidRDefault="00465F1A" w:rsidP="001932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7</w:t>
            </w:r>
            <w:r w:rsidR="00193275" w:rsidRPr="00193275">
              <w:rPr>
                <w:rFonts w:ascii="Times New Roman" w:eastAsia="Times New Roman" w:hAnsi="Times New Roman" w:cs="Times New Roman"/>
                <w:color w:val="000000"/>
                <w:sz w:val="24"/>
                <w:szCs w:val="24"/>
              </w:rPr>
              <w:t>: Spending and Driving - OLS</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Spending</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rPr>
            </w:pPr>
            <w:r w:rsidRPr="00193275">
              <w:rPr>
                <w:rFonts w:ascii="Times New Roman" w:eastAsia="Times New Roman" w:hAnsi="Times New Roman" w:cs="Times New Roman"/>
                <w:color w:val="000000"/>
              </w:rPr>
              <w:t>Driving</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rPr>
            </w:pP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Coeff.</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Std.Err.</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p-value</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Coeff.</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Std.Err.</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p-value</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White</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-45.440</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13.349</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0.001</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0.042</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0.456</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0.926</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Male</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18.590</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10.163</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0.068</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0.569</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0.394</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0.149</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Income 2</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49.643</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11.192</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0.000</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0.685</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0.425</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0.107</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Income 3</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54.128</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13.717</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0.000</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1.926</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0.557</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0.001</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Income 4</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102.284</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23.252</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0.000</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3.508</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0.799</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0.000</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Log Age</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-13.298</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18.101</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0.463</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-0.944</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0.676</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0.163</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Finalist</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4.183</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19.214</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0.828</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-0.500</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0.698</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0.474</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Mid Atlantic</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19.325</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19.722</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0.327</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0.043</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0.702</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0.951</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New England</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-1.131</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23.205</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0.961</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-0.632</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0.914</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0.489</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South Atlantic</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20.737</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17.234</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0.229</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0.453</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0.635</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0.476</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East South Central</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14.718</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21.987</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0.503</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1.119</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0.930</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0.229</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West South Central</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19.373</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20.644</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0.348</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0.951</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0.859</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0.268</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Mountain</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-30.972</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16.431</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0.060</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0.061</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0.762</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0.936</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East North Central</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8.357</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17.312</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0.629</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1.175</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0.698</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0.092</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West North Central</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3.746</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22.852</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0.870</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2.404</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0.977</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0.014</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Constant</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159.057</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61.234</w:t>
            </w: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0.009</w:t>
            </w: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7.814</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2.304</w:t>
            </w: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0.001</w:t>
            </w: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R-squared</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0.037</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0.026</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r>
      <w:tr w:rsidR="00193275" w:rsidRPr="00193275" w:rsidTr="00193275">
        <w:trPr>
          <w:trHeight w:val="310"/>
        </w:trPr>
        <w:tc>
          <w:tcPr>
            <w:tcW w:w="2298"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N=</w:t>
            </w:r>
          </w:p>
        </w:tc>
        <w:tc>
          <w:tcPr>
            <w:tcW w:w="996"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1769</w:t>
            </w:r>
          </w:p>
        </w:tc>
        <w:tc>
          <w:tcPr>
            <w:tcW w:w="112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p>
        </w:tc>
        <w:tc>
          <w:tcPr>
            <w:tcW w:w="979"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r w:rsidRPr="00193275">
              <w:rPr>
                <w:rFonts w:ascii="Times New Roman" w:eastAsia="Times New Roman" w:hAnsi="Times New Roman" w:cs="Times New Roman"/>
                <w:color w:val="000000"/>
                <w:sz w:val="24"/>
                <w:szCs w:val="24"/>
              </w:rPr>
              <w:t>1769</w:t>
            </w:r>
          </w:p>
        </w:tc>
        <w:tc>
          <w:tcPr>
            <w:tcW w:w="963"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jc w:val="right"/>
              <w:rPr>
                <w:rFonts w:ascii="Times New Roman" w:eastAsia="Times New Roman" w:hAnsi="Times New Roman" w:cs="Times New Roman"/>
                <w:color w:val="000000"/>
                <w:sz w:val="24"/>
                <w:szCs w:val="24"/>
              </w:rPr>
            </w:pPr>
          </w:p>
        </w:tc>
        <w:tc>
          <w:tcPr>
            <w:tcW w:w="1017" w:type="dxa"/>
            <w:tcBorders>
              <w:top w:val="nil"/>
              <w:left w:val="nil"/>
              <w:bottom w:val="nil"/>
              <w:right w:val="nil"/>
            </w:tcBorders>
            <w:shd w:val="clear" w:color="auto" w:fill="auto"/>
            <w:noWrap/>
            <w:vAlign w:val="bottom"/>
            <w:hideMark/>
          </w:tcPr>
          <w:p w:rsidR="00193275" w:rsidRPr="00193275" w:rsidRDefault="00193275" w:rsidP="00193275">
            <w:pPr>
              <w:spacing w:after="0" w:line="240" w:lineRule="auto"/>
              <w:rPr>
                <w:rFonts w:ascii="Times New Roman" w:eastAsia="Times New Roman" w:hAnsi="Times New Roman" w:cs="Times New Roman"/>
                <w:sz w:val="20"/>
                <w:szCs w:val="20"/>
              </w:rPr>
            </w:pPr>
          </w:p>
        </w:tc>
      </w:tr>
    </w:tbl>
    <w:p w:rsidR="00BB79C2" w:rsidRDefault="00193275">
      <w:pPr>
        <w:rPr>
          <w:rFonts w:ascii="Times New Roman" w:hAnsi="Times New Roman" w:cs="Times New Roman"/>
          <w:sz w:val="24"/>
          <w:szCs w:val="24"/>
        </w:rPr>
      </w:pPr>
      <w:r>
        <w:rPr>
          <w:rFonts w:ascii="Times New Roman" w:hAnsi="Times New Roman" w:cs="Times New Roman"/>
          <w:sz w:val="24"/>
          <w:szCs w:val="24"/>
        </w:rPr>
        <w:fldChar w:fldCharType="end"/>
      </w:r>
    </w:p>
    <w:p w:rsidR="00BB79C2" w:rsidRDefault="00BB79C2">
      <w:pPr>
        <w:rPr>
          <w:rFonts w:ascii="Times New Roman" w:hAnsi="Times New Roman" w:cs="Times New Roman"/>
          <w:sz w:val="24"/>
          <w:szCs w:val="24"/>
        </w:rPr>
      </w:pPr>
      <w:r>
        <w:rPr>
          <w:rFonts w:ascii="Times New Roman" w:hAnsi="Times New Roman" w:cs="Times New Roman"/>
          <w:sz w:val="24"/>
          <w:szCs w:val="24"/>
        </w:rPr>
        <w:br w:type="page"/>
      </w:r>
    </w:p>
    <w:p w:rsidR="00231B36" w:rsidRDefault="00231B36" w:rsidP="00231B36">
      <w:r>
        <w:lastRenderedPageBreak/>
        <w:fldChar w:fldCharType="begin"/>
      </w:r>
      <w:r>
        <w:instrText xml:space="preserve"> LINK </w:instrText>
      </w:r>
      <w:r w:rsidR="003E3E77">
        <w:instrText xml:space="preserve">Excel.Sheet.12 "C:\\Sports\\stefan_olympic host survey\\tables.xlsx" ols-tobit!R49C18:R72C24 </w:instrText>
      </w:r>
      <w:r>
        <w:instrText xml:space="preserve">\a \f 4 \h  \* MERGEFORMAT </w:instrText>
      </w:r>
      <w:r>
        <w:fldChar w:fldCharType="separate"/>
      </w:r>
    </w:p>
    <w:tbl>
      <w:tblPr>
        <w:tblW w:w="8280" w:type="dxa"/>
        <w:tblLook w:val="04A0" w:firstRow="1" w:lastRow="0" w:firstColumn="1" w:lastColumn="0" w:noHBand="0" w:noVBand="1"/>
      </w:tblPr>
      <w:tblGrid>
        <w:gridCol w:w="2284"/>
        <w:gridCol w:w="996"/>
        <w:gridCol w:w="1123"/>
        <w:gridCol w:w="997"/>
        <w:gridCol w:w="876"/>
        <w:gridCol w:w="963"/>
        <w:gridCol w:w="1041"/>
      </w:tblGrid>
      <w:tr w:rsidR="00231B36" w:rsidRPr="00BB79C2" w:rsidTr="004155A0">
        <w:trPr>
          <w:trHeight w:val="310"/>
        </w:trPr>
        <w:tc>
          <w:tcPr>
            <w:tcW w:w="8280" w:type="dxa"/>
            <w:gridSpan w:val="7"/>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w:t>
            </w:r>
            <w:r w:rsidR="00465F1A">
              <w:rPr>
                <w:rFonts w:ascii="Times New Roman" w:eastAsia="Times New Roman" w:hAnsi="Times New Roman" w:cs="Times New Roman"/>
                <w:color w:val="000000"/>
                <w:sz w:val="24"/>
                <w:szCs w:val="24"/>
              </w:rPr>
              <w:t xml:space="preserve"> 8</w:t>
            </w:r>
            <w:r w:rsidRPr="00BB79C2">
              <w:rPr>
                <w:rFonts w:ascii="Times New Roman" w:eastAsia="Times New Roman" w:hAnsi="Times New Roman" w:cs="Times New Roman"/>
                <w:color w:val="000000"/>
                <w:sz w:val="24"/>
                <w:szCs w:val="24"/>
              </w:rPr>
              <w:t xml:space="preserve">: Spending and Driving - </w:t>
            </w:r>
            <w:r>
              <w:rPr>
                <w:rFonts w:ascii="Times New Roman" w:eastAsia="Times New Roman" w:hAnsi="Times New Roman" w:cs="Times New Roman"/>
                <w:color w:val="000000"/>
                <w:sz w:val="24"/>
                <w:szCs w:val="24"/>
              </w:rPr>
              <w:t xml:space="preserve">Tobit </w:t>
            </w:r>
            <w:r w:rsidRPr="00BB79C2">
              <w:rPr>
                <w:rFonts w:ascii="Times New Roman" w:eastAsia="Times New Roman" w:hAnsi="Times New Roman" w:cs="Times New Roman"/>
                <w:color w:val="000000"/>
                <w:sz w:val="24"/>
                <w:szCs w:val="24"/>
              </w:rPr>
              <w:t>Censored above and below</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Spending</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rPr>
            </w:pPr>
            <w:r w:rsidRPr="00BB79C2">
              <w:rPr>
                <w:rFonts w:ascii="Times New Roman" w:eastAsia="Times New Roman" w:hAnsi="Times New Roman" w:cs="Times New Roman"/>
                <w:color w:val="000000"/>
              </w:rPr>
              <w:t>Driving</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rPr>
            </w:pP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Coeff.</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Std.Err.</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p-value</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Coeff.</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Std.Err.</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p-value</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White</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-71.864</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18.121</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0.007</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0.479</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0.989</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Male</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30.455</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16.178</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0.060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0.845</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0.422</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0.045</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Income 2</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81.182</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18.547</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0.969</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0.482</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0.045</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Income 3</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88.659</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21.587</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2.170</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0.564</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Income 4</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160.254</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28.700</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3.916</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0.762</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Log Age</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-26.930</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27.857</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0.334</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-0.826</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0.728</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0.257</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Finalist</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5.436</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27.981</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0.846</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-0.356</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0.742</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0.631</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Mid Atlantic</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11.191</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29.078</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0.700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0.184</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0.765</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0.810</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New England</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-1.172</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38.715</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0.976</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-1.062</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1.030</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0.302</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South Atlantic</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11.006</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25.756</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0.669</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0.395</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0.679</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0.560</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East South Central</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25.279</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37.926</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0.505</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0.994</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1.003</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0.322</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West South Central</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12.948</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33.146</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0.696</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1.112</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0.870</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0.201</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Mountain</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-37.671</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35.582</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0.290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0.286</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0.930</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0.758</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East North Central</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-1.378</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28.492</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0.961</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1.286</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0.747</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0.085</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West North Central</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0.934</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38.157</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0.980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2.633</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0.997</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0.008</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Constant</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109.975</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95.562</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0.250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6.038</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2.497</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0.016</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σ</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300.030</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7.128</w:t>
            </w: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8.236</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0.167</w:t>
            </w: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Likelihood ratio</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68.310</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51.010</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N=</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1769</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1769</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Left Censored=</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691</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273</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r>
      <w:tr w:rsidR="00231B36" w:rsidRPr="00BB79C2" w:rsidTr="004155A0">
        <w:trPr>
          <w:trHeight w:val="310"/>
        </w:trPr>
        <w:tc>
          <w:tcPr>
            <w:tcW w:w="2284"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Right Censored=</w:t>
            </w:r>
          </w:p>
        </w:tc>
        <w:tc>
          <w:tcPr>
            <w:tcW w:w="99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34</w:t>
            </w:r>
          </w:p>
        </w:tc>
        <w:tc>
          <w:tcPr>
            <w:tcW w:w="112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997"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125</w:t>
            </w:r>
          </w:p>
        </w:tc>
        <w:tc>
          <w:tcPr>
            <w:tcW w:w="963"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jc w:val="right"/>
              <w:rPr>
                <w:rFonts w:ascii="Times New Roman" w:eastAsia="Times New Roman" w:hAnsi="Times New Roman" w:cs="Times New Roman"/>
                <w:color w:val="000000"/>
                <w:sz w:val="24"/>
                <w:szCs w:val="24"/>
              </w:rPr>
            </w:pPr>
          </w:p>
        </w:tc>
        <w:tc>
          <w:tcPr>
            <w:tcW w:w="1041" w:type="dxa"/>
            <w:tcBorders>
              <w:top w:val="nil"/>
              <w:left w:val="nil"/>
              <w:bottom w:val="nil"/>
              <w:right w:val="nil"/>
            </w:tcBorders>
            <w:shd w:val="clear" w:color="auto" w:fill="auto"/>
            <w:noWrap/>
            <w:vAlign w:val="bottom"/>
            <w:hideMark/>
          </w:tcPr>
          <w:p w:rsidR="00231B36" w:rsidRPr="00BB79C2" w:rsidRDefault="00231B36" w:rsidP="004155A0">
            <w:pPr>
              <w:spacing w:after="0" w:line="240" w:lineRule="auto"/>
              <w:rPr>
                <w:rFonts w:ascii="Times New Roman" w:eastAsia="Times New Roman" w:hAnsi="Times New Roman" w:cs="Times New Roman"/>
                <w:sz w:val="20"/>
                <w:szCs w:val="20"/>
              </w:rPr>
            </w:pPr>
          </w:p>
        </w:tc>
      </w:tr>
    </w:tbl>
    <w:p w:rsidR="00BB79C2" w:rsidRDefault="00231B36">
      <w:pPr>
        <w:rPr>
          <w:rFonts w:ascii="Times New Roman" w:hAnsi="Times New Roman" w:cs="Times New Roman"/>
          <w:sz w:val="24"/>
          <w:szCs w:val="24"/>
        </w:rPr>
      </w:pPr>
      <w:r>
        <w:rPr>
          <w:rFonts w:ascii="Times New Roman" w:hAnsi="Times New Roman" w:cs="Times New Roman"/>
          <w:sz w:val="24"/>
          <w:szCs w:val="24"/>
        </w:rPr>
        <w:fldChar w:fldCharType="end"/>
      </w:r>
      <w:r w:rsidR="00BB79C2">
        <w:rPr>
          <w:rFonts w:ascii="Times New Roman" w:hAnsi="Times New Roman" w:cs="Times New Roman"/>
          <w:sz w:val="24"/>
          <w:szCs w:val="24"/>
        </w:rPr>
        <w:br w:type="page"/>
      </w:r>
    </w:p>
    <w:p w:rsidR="00BB79C2" w:rsidRDefault="00BB79C2">
      <w:r>
        <w:lastRenderedPageBreak/>
        <w:fldChar w:fldCharType="begin"/>
      </w:r>
      <w:r>
        <w:instrText xml:space="preserve"> LINK </w:instrText>
      </w:r>
      <w:r w:rsidR="003E3E77">
        <w:instrText xml:space="preserve">Excel.Sheet.12 "C:\\Sports\\stefan_olympic host survey\\tables.xlsx" ordered-probit!R3C2:R22C8 </w:instrText>
      </w:r>
      <w:r>
        <w:instrText xml:space="preserve">\a \f 4 \h </w:instrText>
      </w:r>
      <w:r>
        <w:fldChar w:fldCharType="separate"/>
      </w:r>
    </w:p>
    <w:tbl>
      <w:tblPr>
        <w:tblW w:w="8240" w:type="dxa"/>
        <w:tblLook w:val="04A0" w:firstRow="1" w:lastRow="0" w:firstColumn="1" w:lastColumn="0" w:noHBand="0" w:noVBand="1"/>
      </w:tblPr>
      <w:tblGrid>
        <w:gridCol w:w="2421"/>
        <w:gridCol w:w="876"/>
        <w:gridCol w:w="1187"/>
        <w:gridCol w:w="950"/>
        <w:gridCol w:w="876"/>
        <w:gridCol w:w="984"/>
        <w:gridCol w:w="950"/>
      </w:tblGrid>
      <w:tr w:rsidR="00BB79C2" w:rsidRPr="00BB79C2" w:rsidTr="00BB79C2">
        <w:trPr>
          <w:trHeight w:val="310"/>
        </w:trPr>
        <w:tc>
          <w:tcPr>
            <w:tcW w:w="8240" w:type="dxa"/>
            <w:gridSpan w:val="7"/>
            <w:tcBorders>
              <w:top w:val="nil"/>
              <w:left w:val="nil"/>
              <w:bottom w:val="nil"/>
              <w:right w:val="nil"/>
            </w:tcBorders>
            <w:shd w:val="clear" w:color="auto" w:fill="auto"/>
            <w:noWrap/>
            <w:vAlign w:val="bottom"/>
            <w:hideMark/>
          </w:tcPr>
          <w:p w:rsidR="00BB79C2" w:rsidRPr="00BB79C2" w:rsidRDefault="00465F1A" w:rsidP="00BB7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9</w:t>
            </w:r>
            <w:r w:rsidR="00BB79C2" w:rsidRPr="00BB79C2">
              <w:rPr>
                <w:rFonts w:ascii="Times New Roman" w:eastAsia="Times New Roman" w:hAnsi="Times New Roman" w:cs="Times New Roman"/>
                <w:color w:val="000000"/>
                <w:sz w:val="24"/>
                <w:szCs w:val="24"/>
              </w:rPr>
              <w:t>: Spending and Driving - Ordered probit</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Spending</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rPr>
            </w:pPr>
            <w:r w:rsidRPr="00BB79C2">
              <w:rPr>
                <w:rFonts w:ascii="Times New Roman" w:eastAsia="Times New Roman" w:hAnsi="Times New Roman" w:cs="Times New Roman"/>
                <w:color w:val="000000"/>
              </w:rPr>
              <w:t>Driving</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rPr>
            </w:pP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Coeff.</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Std.Err.</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p-value</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Coeff.</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Std.Err.</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p-value</w:t>
            </w:r>
          </w:p>
        </w:tc>
      </w:tr>
      <w:tr w:rsidR="00BB79C2" w:rsidRPr="00BB79C2" w:rsidTr="00BB79C2">
        <w:trPr>
          <w:trHeight w:val="35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White</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-0.246</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0.062</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-0.001</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0.059</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0.987</w:t>
            </w:r>
          </w:p>
        </w:tc>
      </w:tr>
      <w:tr w:rsidR="00BB79C2" w:rsidRPr="00BB79C2" w:rsidTr="00BB79C2">
        <w:trPr>
          <w:trHeight w:val="35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Male</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0.106</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0.055</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0.055</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0.131</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0.052</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0.011</w:t>
            </w:r>
          </w:p>
        </w:tc>
      </w:tr>
      <w:tr w:rsidR="00BB79C2" w:rsidRPr="00BB79C2" w:rsidTr="00BB79C2">
        <w:trPr>
          <w:trHeight w:val="35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Income 2</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0.281</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0.063</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0.154</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0.059</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0.010</w:t>
            </w:r>
          </w:p>
        </w:tc>
      </w:tr>
      <w:tr w:rsidR="00BB79C2" w:rsidRPr="00BB79C2" w:rsidTr="00BB79C2">
        <w:trPr>
          <w:trHeight w:val="35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Income 3</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0.301</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0.074</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0.291</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0.070</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0.000</w:t>
            </w:r>
          </w:p>
        </w:tc>
      </w:tr>
      <w:tr w:rsidR="00BB79C2" w:rsidRPr="00BB79C2" w:rsidTr="00BB79C2">
        <w:trPr>
          <w:trHeight w:val="35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Income 4</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0.536</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0.098</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0.503</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0.094</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0.000</w:t>
            </w:r>
          </w:p>
        </w:tc>
      </w:tr>
      <w:tr w:rsidR="00BB79C2" w:rsidRPr="00BB79C2" w:rsidTr="00BB79C2">
        <w:trPr>
          <w:trHeight w:val="35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Log Age</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-0.118</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0.095</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0.213</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-0.102</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0.090</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0.256</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Finalist</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0.016</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0.096</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0.865</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-0.054</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0.091</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0.558</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Mid Atlantic</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0.099</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0.999</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0.008</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0.094</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0.936</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New England</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-0.001</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0.132</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0.996</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-0.156</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0.127</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0.217</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South Atlantic</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-0.014</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0.088</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0.870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0.022</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0.084</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0.790</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East South Central</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0.087</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0.129</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0.502</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0.114</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0.123</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0.353</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West South Central</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0.030</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0.113</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0.790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0.107</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0.107</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0.319</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Mountain</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-0.117</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0.122</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0.338</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0.068</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0.115</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0.551</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East North Central</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-0.028</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0.097</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0.774</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0.141</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0.092</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0.126</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West North Central</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-0.010</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0.130</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0.938</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0.343</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0.123</w:t>
            </w: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0.005</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Likelihood ratio</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67.400</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0.000</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58.190</w:t>
            </w: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rPr>
            </w:pPr>
            <w:r w:rsidRPr="00BB79C2">
              <w:rPr>
                <w:rFonts w:ascii="Times New Roman" w:eastAsia="Times New Roman" w:hAnsi="Times New Roman" w:cs="Times New Roman"/>
                <w:color w:val="000000"/>
              </w:rPr>
              <w:t>0.000</w:t>
            </w:r>
          </w:p>
        </w:tc>
      </w:tr>
      <w:tr w:rsidR="00BB79C2" w:rsidRPr="00BB79C2" w:rsidTr="00BB79C2">
        <w:trPr>
          <w:trHeight w:val="310"/>
        </w:trPr>
        <w:tc>
          <w:tcPr>
            <w:tcW w:w="242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N=</w:t>
            </w: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1769</w:t>
            </w:r>
          </w:p>
        </w:tc>
        <w:tc>
          <w:tcPr>
            <w:tcW w:w="118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r>
    </w:tbl>
    <w:p w:rsidR="00BB79C2" w:rsidRDefault="00BB79C2">
      <w:pPr>
        <w:rPr>
          <w:rFonts w:ascii="Times New Roman" w:hAnsi="Times New Roman" w:cs="Times New Roman"/>
          <w:sz w:val="24"/>
          <w:szCs w:val="24"/>
        </w:rPr>
      </w:pPr>
      <w:r>
        <w:rPr>
          <w:rFonts w:ascii="Times New Roman" w:hAnsi="Times New Roman" w:cs="Times New Roman"/>
          <w:sz w:val="24"/>
          <w:szCs w:val="24"/>
        </w:rPr>
        <w:fldChar w:fldCharType="end"/>
      </w:r>
    </w:p>
    <w:p w:rsidR="00BB79C2" w:rsidRDefault="00BB79C2">
      <w:pPr>
        <w:rPr>
          <w:rFonts w:ascii="Times New Roman" w:hAnsi="Times New Roman" w:cs="Times New Roman"/>
          <w:sz w:val="24"/>
          <w:szCs w:val="24"/>
        </w:rPr>
      </w:pPr>
    </w:p>
    <w:p w:rsidR="00BB79C2" w:rsidRDefault="00BB79C2">
      <w:r>
        <w:fldChar w:fldCharType="begin"/>
      </w:r>
      <w:r>
        <w:instrText xml:space="preserve"> LINK </w:instrText>
      </w:r>
      <w:r w:rsidR="003E3E77">
        <w:instrText xml:space="preserve">Excel.Sheet.12 "C:\\Sports\\stefan_olympic host survey\\tables.xlsx" ordered-probit!R3C11:R11C19 </w:instrText>
      </w:r>
      <w:r>
        <w:instrText xml:space="preserve">\a \f 4 \h </w:instrText>
      </w:r>
      <w:r>
        <w:fldChar w:fldCharType="separate"/>
      </w:r>
    </w:p>
    <w:tbl>
      <w:tblPr>
        <w:tblW w:w="8694" w:type="dxa"/>
        <w:tblLook w:val="04A0" w:firstRow="1" w:lastRow="0" w:firstColumn="1" w:lastColumn="0" w:noHBand="0" w:noVBand="1"/>
      </w:tblPr>
      <w:tblGrid>
        <w:gridCol w:w="435"/>
        <w:gridCol w:w="971"/>
        <w:gridCol w:w="1400"/>
        <w:gridCol w:w="1000"/>
        <w:gridCol w:w="877"/>
        <w:gridCol w:w="971"/>
        <w:gridCol w:w="1161"/>
        <w:gridCol w:w="971"/>
        <w:gridCol w:w="971"/>
      </w:tblGrid>
      <w:tr w:rsidR="00BB79C2" w:rsidRPr="00BB79C2" w:rsidTr="00BB79C2">
        <w:trPr>
          <w:trHeight w:val="310"/>
        </w:trPr>
        <w:tc>
          <w:tcPr>
            <w:tcW w:w="8694" w:type="dxa"/>
            <w:gridSpan w:val="9"/>
            <w:tcBorders>
              <w:top w:val="nil"/>
              <w:left w:val="nil"/>
              <w:bottom w:val="nil"/>
              <w:right w:val="nil"/>
            </w:tcBorders>
            <w:shd w:val="clear" w:color="auto" w:fill="auto"/>
            <w:noWrap/>
            <w:vAlign w:val="bottom"/>
            <w:hideMark/>
          </w:tcPr>
          <w:p w:rsidR="00BB79C2" w:rsidRPr="00BB79C2" w:rsidRDefault="00465F1A" w:rsidP="00BB7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10</w:t>
            </w:r>
            <w:r w:rsidR="00BB79C2" w:rsidRPr="00BB79C2">
              <w:rPr>
                <w:rFonts w:ascii="Times New Roman" w:eastAsia="Times New Roman" w:hAnsi="Times New Roman" w:cs="Times New Roman"/>
                <w:color w:val="000000"/>
                <w:sz w:val="24"/>
                <w:szCs w:val="24"/>
              </w:rPr>
              <w:t>: Spending and Driving - Ordered Probit - threshold paramenters</w:t>
            </w:r>
          </w:p>
        </w:tc>
      </w:tr>
      <w:tr w:rsidR="00BB79C2" w:rsidRPr="00BB79C2" w:rsidTr="00BB79C2">
        <w:trPr>
          <w:trHeight w:val="31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Spending</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Driving</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r>
      <w:tr w:rsidR="00BB79C2" w:rsidRPr="00BB79C2" w:rsidTr="00BB79C2">
        <w:trPr>
          <w:trHeight w:val="31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Coeff.</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Std.Err.</w:t>
            </w:r>
          </w:p>
        </w:tc>
        <w:tc>
          <w:tcPr>
            <w:tcW w:w="1877" w:type="dxa"/>
            <w:gridSpan w:val="2"/>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95% Conf. Interval</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Coeff.</w:t>
            </w: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Std.Err.</w:t>
            </w:r>
          </w:p>
        </w:tc>
        <w:tc>
          <w:tcPr>
            <w:tcW w:w="1942" w:type="dxa"/>
            <w:gridSpan w:val="2"/>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95% Conf. Interval</w:t>
            </w:r>
          </w:p>
        </w:tc>
      </w:tr>
      <w:tr w:rsidR="00BB79C2" w:rsidRPr="00BB79C2" w:rsidTr="00BB79C2">
        <w:trPr>
          <w:trHeight w:val="35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µ</w:t>
            </w:r>
            <w:r w:rsidRPr="00BB79C2">
              <w:rPr>
                <w:rFonts w:ascii="Times New Roman" w:eastAsia="Times New Roman" w:hAnsi="Times New Roman" w:cs="Times New Roman"/>
                <w:color w:val="000000"/>
                <w:sz w:val="24"/>
                <w:szCs w:val="24"/>
                <w:vertAlign w:val="subscript"/>
              </w:rPr>
              <w:t>1</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-0.601</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0.327</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-1.241</w:t>
            </w: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0.039</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-1.087</w:t>
            </w: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0.309</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-1.693</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-0.481</w:t>
            </w:r>
          </w:p>
        </w:tc>
      </w:tr>
      <w:tr w:rsidR="00BB79C2" w:rsidRPr="00BB79C2" w:rsidTr="00BB79C2">
        <w:trPr>
          <w:trHeight w:val="35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µ</w:t>
            </w:r>
            <w:r w:rsidRPr="00BB79C2">
              <w:rPr>
                <w:rFonts w:ascii="Times New Roman" w:eastAsia="Times New Roman" w:hAnsi="Times New Roman" w:cs="Times New Roman"/>
                <w:color w:val="000000"/>
                <w:sz w:val="24"/>
                <w:szCs w:val="24"/>
                <w:vertAlign w:val="subscript"/>
              </w:rPr>
              <w:t>2</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0.551</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0.326</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-0.089</w:t>
            </w: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1.190</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-0.393</w:t>
            </w: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0.308</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-0.997</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0.211</w:t>
            </w:r>
          </w:p>
        </w:tc>
      </w:tr>
      <w:tr w:rsidR="00BB79C2" w:rsidRPr="00BB79C2" w:rsidTr="00BB79C2">
        <w:trPr>
          <w:trHeight w:val="35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µ</w:t>
            </w:r>
            <w:r w:rsidRPr="00BB79C2">
              <w:rPr>
                <w:rFonts w:ascii="Times New Roman" w:eastAsia="Times New Roman" w:hAnsi="Times New Roman" w:cs="Times New Roman"/>
                <w:color w:val="000000"/>
                <w:sz w:val="24"/>
                <w:szCs w:val="24"/>
                <w:vertAlign w:val="subscript"/>
              </w:rPr>
              <w:t>3</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1.018</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0.327</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0.377</w:t>
            </w: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1.659</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0.390</w:t>
            </w: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0.308</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-0.214</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0.994</w:t>
            </w:r>
          </w:p>
        </w:tc>
      </w:tr>
      <w:tr w:rsidR="00BB79C2" w:rsidRPr="00BB79C2" w:rsidTr="00BB79C2">
        <w:trPr>
          <w:trHeight w:val="35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µ</w:t>
            </w:r>
            <w:r w:rsidRPr="00BB79C2">
              <w:rPr>
                <w:rFonts w:ascii="Times New Roman" w:eastAsia="Times New Roman" w:hAnsi="Times New Roman" w:cs="Times New Roman"/>
                <w:color w:val="000000"/>
                <w:sz w:val="24"/>
                <w:szCs w:val="24"/>
                <w:vertAlign w:val="subscript"/>
              </w:rPr>
              <w:t>4</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1.433</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0.329</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0.789</w:t>
            </w: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2.077</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1.082</w:t>
            </w: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0.309</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0.476</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1.688</w:t>
            </w:r>
          </w:p>
        </w:tc>
      </w:tr>
      <w:tr w:rsidR="00BB79C2" w:rsidRPr="00BB79C2" w:rsidTr="00BB79C2">
        <w:trPr>
          <w:trHeight w:val="35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µ</w:t>
            </w:r>
            <w:r w:rsidRPr="00BB79C2">
              <w:rPr>
                <w:rFonts w:ascii="Times New Roman" w:eastAsia="Times New Roman" w:hAnsi="Times New Roman" w:cs="Times New Roman"/>
                <w:color w:val="000000"/>
                <w:sz w:val="24"/>
                <w:szCs w:val="24"/>
                <w:vertAlign w:val="subscript"/>
              </w:rPr>
              <w:t>5</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1.641</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0.330</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0.993</w:t>
            </w: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2.288</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1.448</w:t>
            </w: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0.310</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0.840</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2.056</w:t>
            </w:r>
          </w:p>
        </w:tc>
      </w:tr>
      <w:tr w:rsidR="00BB79C2" w:rsidRPr="00BB79C2" w:rsidTr="00BB79C2">
        <w:trPr>
          <w:trHeight w:val="350"/>
        </w:trPr>
        <w:tc>
          <w:tcPr>
            <w:tcW w:w="372"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µ</w:t>
            </w:r>
            <w:r w:rsidRPr="00BB79C2">
              <w:rPr>
                <w:rFonts w:ascii="Times New Roman" w:eastAsia="Times New Roman" w:hAnsi="Times New Roman" w:cs="Times New Roman"/>
                <w:color w:val="000000"/>
                <w:sz w:val="24"/>
                <w:szCs w:val="24"/>
                <w:vertAlign w:val="subscript"/>
              </w:rPr>
              <w:t>6</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1.809</w:t>
            </w:r>
          </w:p>
        </w:tc>
        <w:tc>
          <w:tcPr>
            <w:tcW w:w="14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0.333</w:t>
            </w:r>
          </w:p>
        </w:tc>
        <w:tc>
          <w:tcPr>
            <w:tcW w:w="1000"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1.157</w:t>
            </w:r>
          </w:p>
        </w:tc>
        <w:tc>
          <w:tcPr>
            <w:tcW w:w="877"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r w:rsidRPr="00BB79C2">
              <w:rPr>
                <w:rFonts w:ascii="Times New Roman" w:eastAsia="Times New Roman" w:hAnsi="Times New Roman" w:cs="Times New Roman"/>
                <w:color w:val="000000"/>
                <w:sz w:val="24"/>
                <w:szCs w:val="24"/>
              </w:rPr>
              <w:t>2.461</w:t>
            </w: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jc w:val="right"/>
              <w:rPr>
                <w:rFonts w:ascii="Times New Roman" w:eastAsia="Times New Roman" w:hAnsi="Times New Roman" w:cs="Times New Roman"/>
                <w:color w:val="000000"/>
                <w:sz w:val="24"/>
                <w:szCs w:val="24"/>
              </w:rPr>
            </w:pPr>
          </w:p>
        </w:tc>
        <w:tc>
          <w:tcPr>
            <w:tcW w:w="116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rsidR="00BB79C2" w:rsidRPr="00BB79C2" w:rsidRDefault="00BB79C2" w:rsidP="00BB79C2">
            <w:pPr>
              <w:spacing w:after="0" w:line="240" w:lineRule="auto"/>
              <w:rPr>
                <w:rFonts w:ascii="Times New Roman" w:eastAsia="Times New Roman" w:hAnsi="Times New Roman" w:cs="Times New Roman"/>
                <w:sz w:val="20"/>
                <w:szCs w:val="20"/>
              </w:rPr>
            </w:pPr>
          </w:p>
        </w:tc>
      </w:tr>
    </w:tbl>
    <w:p w:rsidR="000C01F9" w:rsidRDefault="00BB79C2">
      <w:pPr>
        <w:rPr>
          <w:rFonts w:ascii="Times New Roman" w:hAnsi="Times New Roman" w:cs="Times New Roman"/>
          <w:sz w:val="24"/>
          <w:szCs w:val="24"/>
        </w:rPr>
      </w:pPr>
      <w:r>
        <w:rPr>
          <w:rFonts w:ascii="Times New Roman" w:hAnsi="Times New Roman" w:cs="Times New Roman"/>
          <w:sz w:val="24"/>
          <w:szCs w:val="24"/>
        </w:rPr>
        <w:fldChar w:fldCharType="end"/>
      </w:r>
    </w:p>
    <w:p w:rsidR="000C01F9" w:rsidRDefault="000C01F9">
      <w:pPr>
        <w:rPr>
          <w:rFonts w:ascii="Times New Roman" w:hAnsi="Times New Roman" w:cs="Times New Roman"/>
          <w:sz w:val="24"/>
          <w:szCs w:val="24"/>
        </w:rPr>
      </w:pPr>
      <w:r>
        <w:rPr>
          <w:rFonts w:ascii="Times New Roman" w:hAnsi="Times New Roman" w:cs="Times New Roman"/>
          <w:sz w:val="24"/>
          <w:szCs w:val="24"/>
        </w:rPr>
        <w:br w:type="page"/>
      </w:r>
    </w:p>
    <w:p w:rsidR="000C01F9" w:rsidRPr="000C01F9" w:rsidRDefault="000C01F9" w:rsidP="000C01F9">
      <w:pPr>
        <w:shd w:val="clear" w:color="auto" w:fill="FFFFFF"/>
        <w:spacing w:before="100" w:beforeAutospacing="1" w:after="100" w:afterAutospacing="1" w:line="240" w:lineRule="auto"/>
        <w:ind w:left="720" w:firstLine="45"/>
        <w:rPr>
          <w:rFonts w:ascii="Arial" w:eastAsia="Times New Roman" w:hAnsi="Arial" w:cs="Arial"/>
          <w:color w:val="222222"/>
          <w:sz w:val="28"/>
          <w:szCs w:val="28"/>
        </w:rPr>
      </w:pPr>
      <w:r w:rsidRPr="000C01F9">
        <w:rPr>
          <w:rFonts w:ascii="Times New Roman" w:eastAsia="Times New Roman" w:hAnsi="Times New Roman" w:cs="Times New Roman"/>
          <w:color w:val="222222"/>
          <w:sz w:val="28"/>
          <w:szCs w:val="28"/>
        </w:rPr>
        <w:lastRenderedPageBreak/>
        <w:t>The Questionnaire</w:t>
      </w:r>
      <w:r w:rsidRPr="000C01F9">
        <w:rPr>
          <w:rFonts w:ascii="Times New Roman" w:eastAsia="Times New Roman" w:hAnsi="Times New Roman" w:cs="Times New Roman"/>
          <w:color w:val="222222"/>
          <w:sz w:val="28"/>
          <w:szCs w:val="28"/>
        </w:rPr>
        <w:br/>
      </w:r>
    </w:p>
    <w:p w:rsidR="000C01F9" w:rsidRDefault="000C01F9" w:rsidP="000C01F9">
      <w:pPr>
        <w:pStyle w:val="a9"/>
        <w:numPr>
          <w:ilvl w:val="0"/>
          <w:numId w:val="1"/>
        </w:numPr>
        <w:spacing w:after="0" w:line="240" w:lineRule="auto"/>
      </w:pPr>
      <w:r w:rsidRPr="000C01F9">
        <w:t>Do you want the United States to host the Summer Olympic Games?</w:t>
      </w:r>
    </w:p>
    <w:p w:rsidR="000C01F9" w:rsidRDefault="000C01F9" w:rsidP="000C01F9">
      <w:pPr>
        <w:pStyle w:val="a9"/>
        <w:spacing w:after="0" w:line="240" w:lineRule="auto"/>
        <w:ind w:left="1125"/>
      </w:pPr>
    </w:p>
    <w:p w:rsidR="000C01F9" w:rsidRPr="000C01F9" w:rsidRDefault="000C01F9" w:rsidP="000C01F9">
      <w:pPr>
        <w:pStyle w:val="a9"/>
        <w:spacing w:after="0" w:line="240" w:lineRule="auto"/>
        <w:ind w:left="765"/>
      </w:pPr>
      <w:r w:rsidRPr="000C01F9">
        <w:t>a. Yes</w:t>
      </w:r>
    </w:p>
    <w:p w:rsidR="000C01F9" w:rsidRPr="000C01F9" w:rsidRDefault="000C01F9" w:rsidP="000C01F9">
      <w:pPr>
        <w:spacing w:after="0" w:line="240" w:lineRule="auto"/>
        <w:ind w:left="45" w:firstLine="720"/>
      </w:pPr>
      <w:r w:rsidRPr="000C01F9">
        <w:t>b. No</w:t>
      </w:r>
      <w:r>
        <w:br/>
      </w:r>
    </w:p>
    <w:p w:rsidR="000C01F9" w:rsidRPr="000C01F9" w:rsidRDefault="000C01F9" w:rsidP="000C01F9">
      <w:pPr>
        <w:spacing w:after="0" w:line="240" w:lineRule="auto"/>
      </w:pPr>
      <w:r w:rsidRPr="000C01F9">
        <w:t>2. How far from your current living location are you willing to travel to the Summer Olympic Games?</w:t>
      </w:r>
    </w:p>
    <w:p w:rsidR="000C01F9" w:rsidRPr="000C01F9" w:rsidRDefault="000C01F9" w:rsidP="000C01F9">
      <w:pPr>
        <w:spacing w:after="0" w:line="240" w:lineRule="auto"/>
        <w:ind w:left="720"/>
      </w:pPr>
      <w:r>
        <w:br/>
      </w:r>
      <w:r w:rsidRPr="000C01F9">
        <w:t>a. 0-2 driving hours</w:t>
      </w:r>
    </w:p>
    <w:p w:rsidR="000C01F9" w:rsidRPr="000C01F9" w:rsidRDefault="000C01F9" w:rsidP="000C01F9">
      <w:pPr>
        <w:spacing w:after="0" w:line="240" w:lineRule="auto"/>
        <w:ind w:left="720"/>
      </w:pPr>
      <w:r w:rsidRPr="000C01F9">
        <w:t>b. 2-6 driving hours</w:t>
      </w:r>
    </w:p>
    <w:p w:rsidR="000C01F9" w:rsidRPr="000C01F9" w:rsidRDefault="000C01F9" w:rsidP="000C01F9">
      <w:pPr>
        <w:spacing w:after="0" w:line="240" w:lineRule="auto"/>
        <w:ind w:left="720"/>
      </w:pPr>
      <w:r w:rsidRPr="000C01F9">
        <w:t>c. 6-12 driving hours</w:t>
      </w:r>
    </w:p>
    <w:p w:rsidR="000C01F9" w:rsidRPr="000C01F9" w:rsidRDefault="000C01F9" w:rsidP="000C01F9">
      <w:pPr>
        <w:spacing w:after="0" w:line="240" w:lineRule="auto"/>
        <w:ind w:left="720"/>
      </w:pPr>
      <w:r w:rsidRPr="000C01F9">
        <w:t>d. 12-24 driving hours</w:t>
      </w:r>
    </w:p>
    <w:p w:rsidR="000C01F9" w:rsidRPr="000C01F9" w:rsidRDefault="000C01F9" w:rsidP="000C01F9">
      <w:pPr>
        <w:spacing w:after="0" w:line="240" w:lineRule="auto"/>
        <w:ind w:left="720"/>
      </w:pPr>
      <w:r w:rsidRPr="000C01F9">
        <w:t>e. 24+ driving hours</w:t>
      </w:r>
    </w:p>
    <w:p w:rsidR="000C01F9" w:rsidRPr="000C01F9" w:rsidRDefault="000C01F9" w:rsidP="000C01F9">
      <w:pPr>
        <w:spacing w:after="0" w:line="240" w:lineRule="auto"/>
        <w:ind w:left="720"/>
      </w:pPr>
      <w:r w:rsidRPr="000C01F9">
        <w:t>f. Not at all</w:t>
      </w:r>
    </w:p>
    <w:p w:rsidR="000C01F9" w:rsidRPr="000C01F9" w:rsidRDefault="000C01F9" w:rsidP="000C01F9">
      <w:pPr>
        <w:spacing w:after="0" w:line="240" w:lineRule="auto"/>
      </w:pPr>
    </w:p>
    <w:p w:rsidR="000C01F9" w:rsidRPr="000C01F9" w:rsidRDefault="000C01F9" w:rsidP="000C01F9">
      <w:pPr>
        <w:spacing w:after="0" w:line="240" w:lineRule="auto"/>
      </w:pPr>
      <w:r w:rsidRPr="000C01F9">
        <w:t>3. How much are you willing to spend in a one-time lump sum tax to have the Summer Olympic Games in your region?</w:t>
      </w:r>
    </w:p>
    <w:p w:rsidR="000C01F9" w:rsidRPr="000C01F9" w:rsidRDefault="000C01F9" w:rsidP="000C01F9">
      <w:pPr>
        <w:spacing w:after="0" w:line="240" w:lineRule="auto"/>
      </w:pPr>
    </w:p>
    <w:p w:rsidR="000C01F9" w:rsidRPr="000C01F9" w:rsidRDefault="000C01F9" w:rsidP="000C01F9">
      <w:pPr>
        <w:spacing w:after="0" w:line="240" w:lineRule="auto"/>
        <w:ind w:left="720"/>
      </w:pPr>
      <w:r w:rsidRPr="000C01F9">
        <w:t>a. $0</w:t>
      </w:r>
    </w:p>
    <w:p w:rsidR="000C01F9" w:rsidRPr="000C01F9" w:rsidRDefault="000C01F9" w:rsidP="000C01F9">
      <w:pPr>
        <w:spacing w:after="0" w:line="240" w:lineRule="auto"/>
        <w:ind w:left="720"/>
      </w:pPr>
      <w:r w:rsidRPr="000C01F9">
        <w:t>b. $1-$200</w:t>
      </w:r>
    </w:p>
    <w:p w:rsidR="000C01F9" w:rsidRPr="000C01F9" w:rsidRDefault="000C01F9" w:rsidP="000C01F9">
      <w:pPr>
        <w:spacing w:after="0" w:line="240" w:lineRule="auto"/>
        <w:ind w:left="720"/>
      </w:pPr>
      <w:r>
        <w:t>c</w:t>
      </w:r>
      <w:r w:rsidRPr="000C01F9">
        <w:t>. $201-$400</w:t>
      </w:r>
    </w:p>
    <w:p w:rsidR="000C01F9" w:rsidRPr="000C01F9" w:rsidRDefault="000C01F9" w:rsidP="000C01F9">
      <w:pPr>
        <w:spacing w:after="0" w:line="240" w:lineRule="auto"/>
        <w:ind w:left="720"/>
      </w:pPr>
      <w:r>
        <w:t>d</w:t>
      </w:r>
      <w:r w:rsidRPr="000C01F9">
        <w:t>. $401-$600</w:t>
      </w:r>
    </w:p>
    <w:p w:rsidR="000C01F9" w:rsidRPr="000C01F9" w:rsidRDefault="000C01F9" w:rsidP="000C01F9">
      <w:pPr>
        <w:spacing w:after="0" w:line="240" w:lineRule="auto"/>
        <w:ind w:left="720"/>
      </w:pPr>
      <w:r>
        <w:t>e</w:t>
      </w:r>
      <w:r w:rsidRPr="000C01F9">
        <w:t>. $601-$800</w:t>
      </w:r>
    </w:p>
    <w:p w:rsidR="000C01F9" w:rsidRPr="000C01F9" w:rsidRDefault="000C01F9" w:rsidP="000C01F9">
      <w:pPr>
        <w:spacing w:after="0" w:line="240" w:lineRule="auto"/>
        <w:ind w:left="720"/>
      </w:pPr>
      <w:r>
        <w:t>f</w:t>
      </w:r>
      <w:r w:rsidRPr="000C01F9">
        <w:t>. $801-$1,000</w:t>
      </w:r>
    </w:p>
    <w:p w:rsidR="000C01F9" w:rsidRPr="000C01F9" w:rsidRDefault="000C01F9" w:rsidP="000C01F9">
      <w:pPr>
        <w:spacing w:after="0" w:line="240" w:lineRule="auto"/>
        <w:ind w:left="720"/>
      </w:pPr>
      <w:r>
        <w:t>g</w:t>
      </w:r>
      <w:r w:rsidRPr="000C01F9">
        <w:t>. More than $1,000</w:t>
      </w:r>
    </w:p>
    <w:p w:rsidR="000C01F9" w:rsidRPr="000C01F9" w:rsidRDefault="000C01F9" w:rsidP="000C01F9">
      <w:pPr>
        <w:spacing w:after="0" w:line="240" w:lineRule="auto"/>
      </w:pPr>
    </w:p>
    <w:p w:rsidR="000C01F9" w:rsidRPr="000C01F9" w:rsidRDefault="000C01F9" w:rsidP="000C01F9">
      <w:pPr>
        <w:spacing w:after="0" w:line="240" w:lineRule="auto"/>
      </w:pPr>
      <w:r w:rsidRPr="000C01F9">
        <w:t xml:space="preserve"> 4. Which of these destinations would be your preferred summer vacation?</w:t>
      </w:r>
    </w:p>
    <w:p w:rsidR="000C01F9" w:rsidRPr="000C01F9" w:rsidRDefault="000C01F9" w:rsidP="000C01F9">
      <w:pPr>
        <w:spacing w:after="0" w:line="240" w:lineRule="auto"/>
      </w:pPr>
    </w:p>
    <w:p w:rsidR="000C01F9" w:rsidRPr="000C01F9" w:rsidRDefault="000C01F9" w:rsidP="000C01F9">
      <w:pPr>
        <w:spacing w:after="0" w:line="240" w:lineRule="auto"/>
        <w:ind w:firstLine="720"/>
      </w:pPr>
      <w:r w:rsidRPr="000C01F9">
        <w:t>a. Disneyland</w:t>
      </w:r>
    </w:p>
    <w:p w:rsidR="000C01F9" w:rsidRPr="000C01F9" w:rsidRDefault="000C01F9" w:rsidP="000C01F9">
      <w:pPr>
        <w:spacing w:after="0" w:line="240" w:lineRule="auto"/>
        <w:ind w:firstLine="720"/>
      </w:pPr>
      <w:r w:rsidRPr="000C01F9">
        <w:t>b. Las Vegas</w:t>
      </w:r>
    </w:p>
    <w:p w:rsidR="000C01F9" w:rsidRPr="000C01F9" w:rsidRDefault="000C01F9" w:rsidP="000C01F9">
      <w:pPr>
        <w:spacing w:after="0" w:line="240" w:lineRule="auto"/>
        <w:ind w:firstLine="720"/>
      </w:pPr>
      <w:r w:rsidRPr="000C01F9">
        <w:t>c. Washington D.C.</w:t>
      </w:r>
    </w:p>
    <w:p w:rsidR="000C01F9" w:rsidRPr="000C01F9" w:rsidRDefault="000C01F9" w:rsidP="000C01F9">
      <w:pPr>
        <w:spacing w:after="0" w:line="240" w:lineRule="auto"/>
        <w:ind w:firstLine="720"/>
      </w:pPr>
      <w:r w:rsidRPr="000C01F9">
        <w:t>d. The Summer Olympic Games</w:t>
      </w:r>
    </w:p>
    <w:p w:rsidR="000C01F9" w:rsidRPr="000C01F9" w:rsidRDefault="000C01F9" w:rsidP="000C01F9">
      <w:pPr>
        <w:spacing w:after="0" w:line="240" w:lineRule="auto"/>
      </w:pPr>
    </w:p>
    <w:p w:rsidR="000C01F9" w:rsidRPr="000C01F9" w:rsidRDefault="000C01F9" w:rsidP="000C01F9">
      <w:pPr>
        <w:spacing w:after="0" w:line="240" w:lineRule="auto"/>
      </w:pPr>
      <w:r w:rsidRPr="000C01F9">
        <w:t>5. Circle the answer choice, “Finding Nemo”:</w:t>
      </w:r>
    </w:p>
    <w:p w:rsidR="000C01F9" w:rsidRPr="000C01F9" w:rsidRDefault="000C01F9" w:rsidP="000C01F9">
      <w:pPr>
        <w:spacing w:after="0" w:line="240" w:lineRule="auto"/>
      </w:pPr>
    </w:p>
    <w:p w:rsidR="000C01F9" w:rsidRPr="000C01F9" w:rsidRDefault="000C01F9" w:rsidP="000C01F9">
      <w:pPr>
        <w:spacing w:after="0" w:line="240" w:lineRule="auto"/>
        <w:ind w:left="720"/>
      </w:pPr>
      <w:r w:rsidRPr="000C01F9">
        <w:t>a. Toy Story 3</w:t>
      </w:r>
    </w:p>
    <w:p w:rsidR="000C01F9" w:rsidRPr="000C01F9" w:rsidRDefault="000C01F9" w:rsidP="000C01F9">
      <w:pPr>
        <w:spacing w:after="0" w:line="240" w:lineRule="auto"/>
        <w:ind w:left="720"/>
      </w:pPr>
      <w:r w:rsidRPr="000C01F9">
        <w:t>b. Wall-E</w:t>
      </w:r>
    </w:p>
    <w:p w:rsidR="000C01F9" w:rsidRPr="000C01F9" w:rsidRDefault="000C01F9" w:rsidP="000C01F9">
      <w:pPr>
        <w:spacing w:after="0" w:line="240" w:lineRule="auto"/>
        <w:ind w:left="720"/>
      </w:pPr>
      <w:r w:rsidRPr="000C01F9">
        <w:t>c. Finding Nemo</w:t>
      </w:r>
    </w:p>
    <w:p w:rsidR="000C01F9" w:rsidRPr="000C01F9" w:rsidRDefault="000C01F9" w:rsidP="000C01F9">
      <w:pPr>
        <w:spacing w:after="0" w:line="240" w:lineRule="auto"/>
        <w:ind w:left="720"/>
      </w:pPr>
      <w:r w:rsidRPr="000C01F9">
        <w:t>d. Cars</w:t>
      </w:r>
    </w:p>
    <w:p w:rsidR="000C01F9" w:rsidRPr="000C01F9" w:rsidRDefault="000C01F9" w:rsidP="000C01F9">
      <w:pPr>
        <w:spacing w:after="0" w:line="240" w:lineRule="auto"/>
      </w:pPr>
    </w:p>
    <w:p w:rsidR="000C01F9" w:rsidRPr="000C01F9" w:rsidRDefault="000C01F9" w:rsidP="000C01F9">
      <w:pPr>
        <w:spacing w:after="0" w:line="240" w:lineRule="auto"/>
      </w:pPr>
      <w:r w:rsidRPr="000C01F9">
        <w:t>6. What is your zip code? ________________</w:t>
      </w:r>
    </w:p>
    <w:p w:rsidR="000C01F9" w:rsidRPr="000C01F9" w:rsidRDefault="000C01F9" w:rsidP="000C01F9">
      <w:pPr>
        <w:spacing w:after="0" w:line="240" w:lineRule="auto"/>
      </w:pPr>
    </w:p>
    <w:p w:rsidR="000C01F9" w:rsidRPr="000C01F9" w:rsidRDefault="000C01F9" w:rsidP="000C01F9">
      <w:pPr>
        <w:spacing w:after="0" w:line="240" w:lineRule="auto"/>
      </w:pPr>
      <w:r w:rsidRPr="000C01F9">
        <w:t>7. What is your sex?</w:t>
      </w:r>
    </w:p>
    <w:p w:rsidR="000C01F9" w:rsidRPr="000C01F9" w:rsidRDefault="000C01F9" w:rsidP="000C01F9">
      <w:pPr>
        <w:spacing w:after="0" w:line="240" w:lineRule="auto"/>
      </w:pPr>
    </w:p>
    <w:p w:rsidR="000C01F9" w:rsidRPr="000C01F9" w:rsidRDefault="000C01F9" w:rsidP="000C01F9">
      <w:pPr>
        <w:spacing w:after="0" w:line="240" w:lineRule="auto"/>
        <w:ind w:firstLine="720"/>
      </w:pPr>
      <w:r w:rsidRPr="000C01F9">
        <w:t>a. Male</w:t>
      </w:r>
    </w:p>
    <w:p w:rsidR="000C01F9" w:rsidRPr="000C01F9" w:rsidRDefault="000C01F9" w:rsidP="000C01F9">
      <w:pPr>
        <w:spacing w:after="0" w:line="240" w:lineRule="auto"/>
        <w:ind w:firstLine="720"/>
      </w:pPr>
      <w:r w:rsidRPr="000C01F9">
        <w:lastRenderedPageBreak/>
        <w:t>b. Female</w:t>
      </w:r>
    </w:p>
    <w:p w:rsidR="000C01F9" w:rsidRPr="000C01F9" w:rsidRDefault="000C01F9" w:rsidP="000C01F9">
      <w:pPr>
        <w:spacing w:after="0" w:line="240" w:lineRule="auto"/>
      </w:pPr>
      <w:r w:rsidRPr="000C01F9">
        <w:t>8. What is your age? ________________ years old.</w:t>
      </w:r>
    </w:p>
    <w:p w:rsidR="000C01F9" w:rsidRPr="000C01F9" w:rsidRDefault="000C01F9" w:rsidP="000C01F9">
      <w:pPr>
        <w:spacing w:after="0" w:line="240" w:lineRule="auto"/>
      </w:pPr>
    </w:p>
    <w:p w:rsidR="000C01F9" w:rsidRPr="000C01F9" w:rsidRDefault="000C01F9" w:rsidP="000C01F9">
      <w:pPr>
        <w:spacing w:after="0" w:line="240" w:lineRule="auto"/>
      </w:pPr>
      <w:r w:rsidRPr="000C01F9">
        <w:t>9. What is your race?</w:t>
      </w:r>
    </w:p>
    <w:p w:rsidR="000C01F9" w:rsidRPr="000C01F9" w:rsidRDefault="000C01F9" w:rsidP="000C01F9">
      <w:pPr>
        <w:spacing w:after="0" w:line="240" w:lineRule="auto"/>
      </w:pPr>
    </w:p>
    <w:p w:rsidR="000C01F9" w:rsidRPr="000C01F9" w:rsidRDefault="000C01F9" w:rsidP="000C01F9">
      <w:pPr>
        <w:spacing w:after="0" w:line="240" w:lineRule="auto"/>
        <w:ind w:firstLine="720"/>
      </w:pPr>
      <w:r w:rsidRPr="000C01F9">
        <w:t>a. Caucasian/White</w:t>
      </w:r>
    </w:p>
    <w:p w:rsidR="000C01F9" w:rsidRPr="000C01F9" w:rsidRDefault="000C01F9" w:rsidP="000C01F9">
      <w:pPr>
        <w:spacing w:after="0" w:line="240" w:lineRule="auto"/>
        <w:ind w:firstLine="720"/>
      </w:pPr>
      <w:r w:rsidRPr="000C01F9">
        <w:t>b. African American/Black</w:t>
      </w:r>
    </w:p>
    <w:p w:rsidR="000C01F9" w:rsidRPr="000C01F9" w:rsidRDefault="000C01F9" w:rsidP="000C01F9">
      <w:pPr>
        <w:spacing w:after="0" w:line="240" w:lineRule="auto"/>
        <w:ind w:firstLine="720"/>
      </w:pPr>
      <w:r w:rsidRPr="000C01F9">
        <w:t>c. Hispanic</w:t>
      </w:r>
    </w:p>
    <w:p w:rsidR="000C01F9" w:rsidRPr="000C01F9" w:rsidRDefault="000C01F9" w:rsidP="000C01F9">
      <w:pPr>
        <w:spacing w:after="0" w:line="240" w:lineRule="auto"/>
        <w:ind w:firstLine="720"/>
      </w:pPr>
      <w:r w:rsidRPr="000C01F9">
        <w:t>d. Asian American</w:t>
      </w:r>
    </w:p>
    <w:p w:rsidR="000C01F9" w:rsidRPr="000C01F9" w:rsidRDefault="000C01F9" w:rsidP="000C01F9">
      <w:pPr>
        <w:spacing w:after="0" w:line="240" w:lineRule="auto"/>
        <w:ind w:firstLine="720"/>
      </w:pPr>
      <w:r w:rsidRPr="000C01F9">
        <w:t>e. Native American</w:t>
      </w:r>
    </w:p>
    <w:p w:rsidR="000C01F9" w:rsidRPr="000C01F9" w:rsidRDefault="000C01F9" w:rsidP="000C01F9">
      <w:pPr>
        <w:spacing w:after="0" w:line="240" w:lineRule="auto"/>
        <w:ind w:firstLine="720"/>
      </w:pPr>
      <w:r w:rsidRPr="000C01F9">
        <w:t>f. Native Hawaiian/Other Pacific Islander</w:t>
      </w:r>
    </w:p>
    <w:p w:rsidR="000C01F9" w:rsidRPr="000C01F9" w:rsidRDefault="000C01F9" w:rsidP="000C01F9">
      <w:pPr>
        <w:spacing w:after="0" w:line="240" w:lineRule="auto"/>
        <w:ind w:firstLine="720"/>
      </w:pPr>
      <w:r w:rsidRPr="000C01F9">
        <w:t>g. Multi-racial</w:t>
      </w:r>
    </w:p>
    <w:p w:rsidR="000C01F9" w:rsidRPr="000C01F9" w:rsidRDefault="000C01F9" w:rsidP="000C01F9">
      <w:pPr>
        <w:spacing w:after="0" w:line="240" w:lineRule="auto"/>
        <w:ind w:firstLine="720"/>
      </w:pPr>
      <w:r w:rsidRPr="000C01F9">
        <w:t>h. I’d prefer not to specify</w:t>
      </w:r>
    </w:p>
    <w:p w:rsidR="000C01F9" w:rsidRPr="000C01F9" w:rsidRDefault="000C01F9" w:rsidP="000C01F9">
      <w:pPr>
        <w:spacing w:after="0" w:line="240" w:lineRule="auto"/>
      </w:pPr>
    </w:p>
    <w:p w:rsidR="000C01F9" w:rsidRPr="000C01F9" w:rsidRDefault="000C01F9" w:rsidP="000C01F9">
      <w:pPr>
        <w:spacing w:after="0" w:line="240" w:lineRule="auto"/>
      </w:pPr>
      <w:r w:rsidRPr="000C01F9">
        <w:t xml:space="preserve"> 10. What is your annual household income?</w:t>
      </w:r>
    </w:p>
    <w:p w:rsidR="000C01F9" w:rsidRPr="000C01F9" w:rsidRDefault="000C01F9" w:rsidP="000C01F9">
      <w:pPr>
        <w:spacing w:after="0" w:line="240" w:lineRule="auto"/>
      </w:pPr>
    </w:p>
    <w:p w:rsidR="000C01F9" w:rsidRPr="000C01F9" w:rsidRDefault="000C01F9" w:rsidP="000C01F9">
      <w:pPr>
        <w:spacing w:after="0" w:line="240" w:lineRule="auto"/>
        <w:ind w:firstLine="720"/>
      </w:pPr>
      <w:r w:rsidRPr="000C01F9">
        <w:t>a. $0-$30,000</w:t>
      </w:r>
    </w:p>
    <w:p w:rsidR="000C01F9" w:rsidRPr="000C01F9" w:rsidRDefault="000C01F9" w:rsidP="000C01F9">
      <w:pPr>
        <w:spacing w:after="0" w:line="240" w:lineRule="auto"/>
        <w:ind w:firstLine="720"/>
      </w:pPr>
      <w:r w:rsidRPr="000C01F9">
        <w:t>b. $30,000-$60,000</w:t>
      </w:r>
    </w:p>
    <w:p w:rsidR="000C01F9" w:rsidRPr="000C01F9" w:rsidRDefault="000C01F9" w:rsidP="000C01F9">
      <w:pPr>
        <w:shd w:val="clear" w:color="auto" w:fill="FFFFFF"/>
        <w:spacing w:after="0" w:line="240" w:lineRule="auto"/>
        <w:ind w:left="720"/>
        <w:rPr>
          <w:rFonts w:ascii="Arial" w:eastAsia="Times New Roman" w:hAnsi="Arial" w:cs="Arial"/>
          <w:color w:val="222222"/>
          <w:sz w:val="20"/>
          <w:szCs w:val="20"/>
        </w:rPr>
      </w:pPr>
      <w:r w:rsidRPr="000C01F9">
        <w:rPr>
          <w:rFonts w:ascii="Arial" w:eastAsia="Times New Roman" w:hAnsi="Arial" w:cs="Arial"/>
          <w:color w:val="222222"/>
          <w:sz w:val="20"/>
          <w:szCs w:val="20"/>
        </w:rPr>
        <w:t>c. $60,000-$100,000</w:t>
      </w:r>
    </w:p>
    <w:p w:rsidR="000C01F9" w:rsidRPr="000C01F9" w:rsidRDefault="000C01F9" w:rsidP="000C01F9">
      <w:pPr>
        <w:shd w:val="clear" w:color="auto" w:fill="FFFFFF"/>
        <w:spacing w:after="0" w:line="240" w:lineRule="auto"/>
        <w:ind w:left="720"/>
        <w:rPr>
          <w:rFonts w:ascii="Arial" w:eastAsia="Times New Roman" w:hAnsi="Arial" w:cs="Arial"/>
          <w:color w:val="222222"/>
          <w:sz w:val="20"/>
          <w:szCs w:val="20"/>
        </w:rPr>
      </w:pPr>
      <w:r w:rsidRPr="000C01F9">
        <w:rPr>
          <w:rFonts w:ascii="Arial" w:eastAsia="Times New Roman" w:hAnsi="Arial" w:cs="Arial"/>
          <w:color w:val="222222"/>
          <w:sz w:val="20"/>
          <w:szCs w:val="20"/>
        </w:rPr>
        <w:t>d. More than $100,000</w:t>
      </w:r>
    </w:p>
    <w:p w:rsidR="00BB79C2" w:rsidRDefault="00BB79C2">
      <w:pPr>
        <w:rPr>
          <w:rFonts w:ascii="Times New Roman" w:hAnsi="Times New Roman" w:cs="Times New Roman"/>
          <w:sz w:val="24"/>
          <w:szCs w:val="24"/>
        </w:rPr>
      </w:pPr>
    </w:p>
    <w:p w:rsidR="00457D8F" w:rsidRDefault="00457D8F">
      <w:pPr>
        <w:rPr>
          <w:rFonts w:ascii="Times New Roman" w:hAnsi="Times New Roman" w:cs="Times New Roman"/>
          <w:sz w:val="24"/>
          <w:szCs w:val="24"/>
        </w:rPr>
      </w:pPr>
      <w:r>
        <w:rPr>
          <w:rFonts w:ascii="Times New Roman" w:hAnsi="Times New Roman" w:cs="Times New Roman"/>
          <w:sz w:val="24"/>
          <w:szCs w:val="24"/>
        </w:rPr>
        <w:t>Note: question 5 was intended to weed out responses from programmes seeking to maximize income.</w:t>
      </w:r>
    </w:p>
    <w:p w:rsidR="00457D8F" w:rsidRDefault="00457D8F">
      <w:pPr>
        <w:rPr>
          <w:rFonts w:ascii="Times New Roman" w:hAnsi="Times New Roman" w:cs="Times New Roman"/>
          <w:sz w:val="24"/>
          <w:szCs w:val="24"/>
        </w:rPr>
      </w:pPr>
    </w:p>
    <w:sectPr w:rsidR="00457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FC" w:rsidRDefault="00BE0EFC" w:rsidP="006B2AEE">
      <w:pPr>
        <w:spacing w:after="0" w:line="240" w:lineRule="auto"/>
      </w:pPr>
      <w:r>
        <w:separator/>
      </w:r>
    </w:p>
  </w:endnote>
  <w:endnote w:type="continuationSeparator" w:id="0">
    <w:p w:rsidR="00BE0EFC" w:rsidRDefault="00BE0EFC" w:rsidP="006B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FC" w:rsidRDefault="00BE0EFC" w:rsidP="006B2AEE">
      <w:pPr>
        <w:spacing w:after="0" w:line="240" w:lineRule="auto"/>
      </w:pPr>
      <w:r>
        <w:separator/>
      </w:r>
    </w:p>
  </w:footnote>
  <w:footnote w:type="continuationSeparator" w:id="0">
    <w:p w:rsidR="00BE0EFC" w:rsidRDefault="00BE0EFC" w:rsidP="006B2AEE">
      <w:pPr>
        <w:spacing w:after="0" w:line="240" w:lineRule="auto"/>
      </w:pPr>
      <w:r>
        <w:continuationSeparator/>
      </w:r>
    </w:p>
  </w:footnote>
  <w:footnote w:id="1">
    <w:p w:rsidR="00E95FFA" w:rsidRPr="00494277" w:rsidRDefault="00E95FFA" w:rsidP="00B85D80">
      <w:pPr>
        <w:rPr>
          <w:rFonts w:ascii="Times New Roman" w:hAnsi="Times New Roman" w:cs="Times New Roman"/>
          <w:sz w:val="24"/>
          <w:szCs w:val="24"/>
        </w:rPr>
      </w:pPr>
      <w:r w:rsidRPr="00494277">
        <w:rPr>
          <w:rStyle w:val="a6"/>
          <w:rFonts w:ascii="Times New Roman" w:hAnsi="Times New Roman" w:cs="Times New Roman"/>
          <w:sz w:val="20"/>
          <w:szCs w:val="20"/>
        </w:rPr>
        <w:footnoteRef/>
      </w:r>
      <w:r w:rsidRPr="00494277">
        <w:rPr>
          <w:rFonts w:ascii="Times New Roman" w:hAnsi="Times New Roman" w:cs="Times New Roman"/>
          <w:sz w:val="20"/>
          <w:szCs w:val="20"/>
        </w:rPr>
        <w:t xml:space="preserve"> </w:t>
      </w:r>
      <w:r w:rsidRPr="00494277">
        <w:rPr>
          <w:rFonts w:ascii="Times New Roman" w:hAnsi="Times New Roman" w:cs="Times New Roman"/>
          <w:sz w:val="24"/>
          <w:szCs w:val="24"/>
        </w:rPr>
        <w:t>The following Michigan students worked on the structure and implementation of the questionnaire: Michael Adsit, Zachary Amateau, Brandon Azus, David Carlson, Michael Chiasson, Hannah Cohen, Nathan Gilchrist, Kenza Guessous, Nicholas Houser, Jared Hunter, Brooke Kranz, Alexander Locke, Travis Lynch, Andrew Purugganan, Charles Roarty, Isaac Rosner, Andrew Sinelli, Jennifer Stein, Philip Tafet, Zachary Verch</w:t>
      </w:r>
      <w:r>
        <w:rPr>
          <w:rFonts w:ascii="Times New Roman" w:hAnsi="Times New Roman" w:cs="Times New Roman"/>
          <w:sz w:val="24"/>
          <w:szCs w:val="24"/>
        </w:rPr>
        <w:t>.</w:t>
      </w:r>
    </w:p>
    <w:p w:rsidR="00E95FFA" w:rsidRDefault="00E95FFA">
      <w:pPr>
        <w:pStyle w:val="a4"/>
      </w:pPr>
    </w:p>
  </w:footnote>
  <w:footnote w:id="2">
    <w:p w:rsidR="00E95FFA" w:rsidRPr="00C66440" w:rsidRDefault="00E95FFA">
      <w:pPr>
        <w:pStyle w:val="a4"/>
        <w:rPr>
          <w:rFonts w:ascii="Times New Roman" w:hAnsi="Times New Roman" w:cs="Times New Roman"/>
          <w:sz w:val="24"/>
          <w:szCs w:val="24"/>
        </w:rPr>
      </w:pPr>
      <w:r>
        <w:rPr>
          <w:rStyle w:val="a6"/>
        </w:rPr>
        <w:footnoteRef/>
      </w:r>
      <w:r>
        <w:t xml:space="preserve"> </w:t>
      </w:r>
      <w:r w:rsidRPr="00C66440">
        <w:rPr>
          <w:rFonts w:ascii="Times New Roman" w:hAnsi="Times New Roman" w:cs="Times New Roman"/>
          <w:sz w:val="24"/>
          <w:szCs w:val="24"/>
        </w:rPr>
        <w:t>The mean reported willingness to spend in Table 1 results from finding the average of the</w:t>
      </w:r>
      <w:r>
        <w:rPr>
          <w:rFonts w:ascii="Times New Roman" w:hAnsi="Times New Roman" w:cs="Times New Roman"/>
          <w:sz w:val="24"/>
          <w:szCs w:val="24"/>
        </w:rPr>
        <w:t xml:space="preserve"> </w:t>
      </w:r>
      <w:r w:rsidRPr="00C66440">
        <w:rPr>
          <w:rFonts w:ascii="Times New Roman" w:hAnsi="Times New Roman" w:cs="Times New Roman"/>
          <w:sz w:val="24"/>
          <w:szCs w:val="24"/>
        </w:rPr>
        <w:t>continuous values.  Alternatively to treating each observation equally, the spending values could be weighted by the proportion of the sample providing th</w:t>
      </w:r>
      <w:r>
        <w:rPr>
          <w:rFonts w:ascii="Times New Roman" w:hAnsi="Times New Roman" w:cs="Times New Roman"/>
          <w:sz w:val="24"/>
          <w:szCs w:val="24"/>
        </w:rPr>
        <w:t>at</w:t>
      </w:r>
      <w:r w:rsidRPr="00C66440">
        <w:rPr>
          <w:rFonts w:ascii="Times New Roman" w:hAnsi="Times New Roman" w:cs="Times New Roman"/>
          <w:sz w:val="24"/>
          <w:szCs w:val="24"/>
        </w:rPr>
        <w:t xml:space="preserve"> response.  In that case the mean of reported willingness to spend is $130.83.</w:t>
      </w:r>
    </w:p>
  </w:footnote>
  <w:footnote w:id="3">
    <w:p w:rsidR="00E95FFA" w:rsidRDefault="00E95FFA">
      <w:pPr>
        <w:pStyle w:val="a4"/>
      </w:pPr>
      <w:r>
        <w:rPr>
          <w:rStyle w:val="a6"/>
        </w:rPr>
        <w:footnoteRef/>
      </w:r>
      <w:r>
        <w:t xml:space="preserve"> </w:t>
      </w:r>
      <w:r>
        <w:rPr>
          <w:rFonts w:ascii="Times New Roman" w:hAnsi="Times New Roman" w:cs="Times New Roman"/>
          <w:sz w:val="24"/>
          <w:szCs w:val="24"/>
        </w:rPr>
        <w:t>This large share of zeros indicates that a Tobit analysis may be necessary to avoid bias in the estimation of the willingness to spend equation. The ordered nature of the variable also allows for estimation using ordered probit.</w:t>
      </w:r>
    </w:p>
  </w:footnote>
  <w:footnote w:id="4">
    <w:p w:rsidR="00E95FFA" w:rsidRDefault="00E95FFA">
      <w:pPr>
        <w:pStyle w:val="a4"/>
      </w:pPr>
      <w:r>
        <w:rPr>
          <w:rStyle w:val="a6"/>
        </w:rPr>
        <w:footnoteRef/>
      </w:r>
      <w:r>
        <w:t xml:space="preserve"> </w:t>
      </w:r>
      <w:r w:rsidRPr="00732D98">
        <w:rPr>
          <w:rFonts w:ascii="Times New Roman" w:hAnsi="Times New Roman" w:cs="Times New Roman"/>
          <w:sz w:val="24"/>
          <w:szCs w:val="24"/>
        </w:rPr>
        <w:t>The value is $31.81 billion with the alternatively calculated mean willingness to spend.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DA8"/>
    <w:multiLevelType w:val="hybridMultilevel"/>
    <w:tmpl w:val="719CE530"/>
    <w:lvl w:ilvl="0" w:tplc="5FD840FC">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2B"/>
    <w:rsid w:val="00012B72"/>
    <w:rsid w:val="00032383"/>
    <w:rsid w:val="00055B2E"/>
    <w:rsid w:val="0009316F"/>
    <w:rsid w:val="000A3578"/>
    <w:rsid w:val="000C01F9"/>
    <w:rsid w:val="000F7098"/>
    <w:rsid w:val="0012141C"/>
    <w:rsid w:val="0015263E"/>
    <w:rsid w:val="001637A4"/>
    <w:rsid w:val="00192D51"/>
    <w:rsid w:val="00193275"/>
    <w:rsid w:val="001A3DEA"/>
    <w:rsid w:val="001A6632"/>
    <w:rsid w:val="001B50C3"/>
    <w:rsid w:val="001C4B27"/>
    <w:rsid w:val="001C6FB7"/>
    <w:rsid w:val="001D4543"/>
    <w:rsid w:val="00201740"/>
    <w:rsid w:val="00231B36"/>
    <w:rsid w:val="00232F1E"/>
    <w:rsid w:val="00244792"/>
    <w:rsid w:val="0025759A"/>
    <w:rsid w:val="002F58E4"/>
    <w:rsid w:val="0030728C"/>
    <w:rsid w:val="00333665"/>
    <w:rsid w:val="00340656"/>
    <w:rsid w:val="003433F2"/>
    <w:rsid w:val="00344A73"/>
    <w:rsid w:val="00355E9C"/>
    <w:rsid w:val="003645E6"/>
    <w:rsid w:val="00372130"/>
    <w:rsid w:val="003750DC"/>
    <w:rsid w:val="003A56C5"/>
    <w:rsid w:val="003B3F73"/>
    <w:rsid w:val="003B4D6C"/>
    <w:rsid w:val="003E3E77"/>
    <w:rsid w:val="00401AF6"/>
    <w:rsid w:val="004043D5"/>
    <w:rsid w:val="004155A0"/>
    <w:rsid w:val="00422559"/>
    <w:rsid w:val="00457D8F"/>
    <w:rsid w:val="0046344A"/>
    <w:rsid w:val="00465F1A"/>
    <w:rsid w:val="00494277"/>
    <w:rsid w:val="004A60B2"/>
    <w:rsid w:val="004C1543"/>
    <w:rsid w:val="004C6B03"/>
    <w:rsid w:val="004D767E"/>
    <w:rsid w:val="004F36AD"/>
    <w:rsid w:val="00504059"/>
    <w:rsid w:val="00514B14"/>
    <w:rsid w:val="00522349"/>
    <w:rsid w:val="00566F27"/>
    <w:rsid w:val="00585119"/>
    <w:rsid w:val="005879E7"/>
    <w:rsid w:val="005D291B"/>
    <w:rsid w:val="005F577F"/>
    <w:rsid w:val="00606A8F"/>
    <w:rsid w:val="0062411E"/>
    <w:rsid w:val="00652C40"/>
    <w:rsid w:val="00665838"/>
    <w:rsid w:val="006744F8"/>
    <w:rsid w:val="006A6907"/>
    <w:rsid w:val="006A794F"/>
    <w:rsid w:val="006B2AEE"/>
    <w:rsid w:val="006E1998"/>
    <w:rsid w:val="006F2C61"/>
    <w:rsid w:val="00703EA4"/>
    <w:rsid w:val="00707EA0"/>
    <w:rsid w:val="00732D98"/>
    <w:rsid w:val="00764A5A"/>
    <w:rsid w:val="00785E3F"/>
    <w:rsid w:val="00792828"/>
    <w:rsid w:val="007A4DC5"/>
    <w:rsid w:val="007A504E"/>
    <w:rsid w:val="007A7C10"/>
    <w:rsid w:val="007B3EE1"/>
    <w:rsid w:val="007E2E21"/>
    <w:rsid w:val="007E48F4"/>
    <w:rsid w:val="007E5611"/>
    <w:rsid w:val="007F1221"/>
    <w:rsid w:val="00803308"/>
    <w:rsid w:val="00816888"/>
    <w:rsid w:val="008178BB"/>
    <w:rsid w:val="008660DC"/>
    <w:rsid w:val="008A7D8D"/>
    <w:rsid w:val="008E296F"/>
    <w:rsid w:val="008E596F"/>
    <w:rsid w:val="0094671D"/>
    <w:rsid w:val="00954FC6"/>
    <w:rsid w:val="00956AD5"/>
    <w:rsid w:val="009B1C6A"/>
    <w:rsid w:val="009F0C56"/>
    <w:rsid w:val="00A20FFF"/>
    <w:rsid w:val="00A560CC"/>
    <w:rsid w:val="00AB2065"/>
    <w:rsid w:val="00AC4AAA"/>
    <w:rsid w:val="00AC78A4"/>
    <w:rsid w:val="00AE3547"/>
    <w:rsid w:val="00AF5310"/>
    <w:rsid w:val="00B13E08"/>
    <w:rsid w:val="00B1573F"/>
    <w:rsid w:val="00B25B61"/>
    <w:rsid w:val="00B272C2"/>
    <w:rsid w:val="00B470A7"/>
    <w:rsid w:val="00B7201E"/>
    <w:rsid w:val="00B85D80"/>
    <w:rsid w:val="00B95BDD"/>
    <w:rsid w:val="00BA03C8"/>
    <w:rsid w:val="00BA3060"/>
    <w:rsid w:val="00BA4B83"/>
    <w:rsid w:val="00BB79C2"/>
    <w:rsid w:val="00BE0EFC"/>
    <w:rsid w:val="00BE5493"/>
    <w:rsid w:val="00BF0EAC"/>
    <w:rsid w:val="00C2064A"/>
    <w:rsid w:val="00C23FB8"/>
    <w:rsid w:val="00C321CA"/>
    <w:rsid w:val="00C57225"/>
    <w:rsid w:val="00C66440"/>
    <w:rsid w:val="00C66D3F"/>
    <w:rsid w:val="00C82E2B"/>
    <w:rsid w:val="00C94266"/>
    <w:rsid w:val="00C9640E"/>
    <w:rsid w:val="00CD1E13"/>
    <w:rsid w:val="00CD2FB9"/>
    <w:rsid w:val="00CF78F3"/>
    <w:rsid w:val="00D34490"/>
    <w:rsid w:val="00D72D95"/>
    <w:rsid w:val="00DB467F"/>
    <w:rsid w:val="00DB531C"/>
    <w:rsid w:val="00DF6328"/>
    <w:rsid w:val="00E04214"/>
    <w:rsid w:val="00E23EAE"/>
    <w:rsid w:val="00E4339D"/>
    <w:rsid w:val="00E635A5"/>
    <w:rsid w:val="00E65395"/>
    <w:rsid w:val="00E95FFA"/>
    <w:rsid w:val="00EC098A"/>
    <w:rsid w:val="00EE1DDC"/>
    <w:rsid w:val="00EE1EEA"/>
    <w:rsid w:val="00EE2D90"/>
    <w:rsid w:val="00EF4421"/>
    <w:rsid w:val="00F76AE1"/>
    <w:rsid w:val="00F82544"/>
    <w:rsid w:val="00FB6C2D"/>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0042"/>
    <w:rPr>
      <w:color w:val="808080"/>
    </w:rPr>
  </w:style>
  <w:style w:type="paragraph" w:styleId="a4">
    <w:name w:val="footnote text"/>
    <w:basedOn w:val="a"/>
    <w:link w:val="a5"/>
    <w:uiPriority w:val="99"/>
    <w:semiHidden/>
    <w:unhideWhenUsed/>
    <w:rsid w:val="006B2AEE"/>
    <w:pPr>
      <w:spacing w:after="0" w:line="240" w:lineRule="auto"/>
    </w:pPr>
    <w:rPr>
      <w:sz w:val="20"/>
      <w:szCs w:val="20"/>
    </w:rPr>
  </w:style>
  <w:style w:type="character" w:customStyle="1" w:styleId="a5">
    <w:name w:val="Текст сноски Знак"/>
    <w:basedOn w:val="a0"/>
    <w:link w:val="a4"/>
    <w:uiPriority w:val="99"/>
    <w:semiHidden/>
    <w:rsid w:val="006B2AEE"/>
    <w:rPr>
      <w:sz w:val="20"/>
      <w:szCs w:val="20"/>
    </w:rPr>
  </w:style>
  <w:style w:type="character" w:styleId="a6">
    <w:name w:val="footnote reference"/>
    <w:basedOn w:val="a0"/>
    <w:uiPriority w:val="99"/>
    <w:semiHidden/>
    <w:unhideWhenUsed/>
    <w:rsid w:val="006B2AEE"/>
    <w:rPr>
      <w:vertAlign w:val="superscript"/>
    </w:rPr>
  </w:style>
  <w:style w:type="table" w:styleId="a7">
    <w:name w:val="Table Grid"/>
    <w:basedOn w:val="a1"/>
    <w:uiPriority w:val="59"/>
    <w:rsid w:val="00BA306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0C01F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C01F9"/>
    <w:pPr>
      <w:ind w:left="720"/>
      <w:contextualSpacing/>
    </w:pPr>
  </w:style>
  <w:style w:type="character" w:customStyle="1" w:styleId="apple-converted-space">
    <w:name w:val="apple-converted-space"/>
    <w:basedOn w:val="a0"/>
    <w:rsid w:val="00457D8F"/>
  </w:style>
  <w:style w:type="character" w:styleId="aa">
    <w:name w:val="Hyperlink"/>
    <w:basedOn w:val="a0"/>
    <w:uiPriority w:val="99"/>
    <w:unhideWhenUsed/>
    <w:rsid w:val="00E04214"/>
    <w:rPr>
      <w:color w:val="0563C1" w:themeColor="hyperlink"/>
      <w:u w:val="single"/>
    </w:rPr>
  </w:style>
  <w:style w:type="character" w:styleId="ab">
    <w:name w:val="FollowedHyperlink"/>
    <w:basedOn w:val="a0"/>
    <w:uiPriority w:val="99"/>
    <w:semiHidden/>
    <w:unhideWhenUsed/>
    <w:rsid w:val="00D72D95"/>
    <w:rPr>
      <w:color w:val="954F72" w:themeColor="followedHyperlink"/>
      <w:u w:val="single"/>
    </w:rPr>
  </w:style>
  <w:style w:type="character" w:customStyle="1" w:styleId="title-link-wrapper">
    <w:name w:val="title-link-wrapper"/>
    <w:basedOn w:val="a0"/>
    <w:rsid w:val="001B50C3"/>
  </w:style>
  <w:style w:type="character" w:styleId="ac">
    <w:name w:val="Strong"/>
    <w:basedOn w:val="a0"/>
    <w:uiPriority w:val="22"/>
    <w:qFormat/>
    <w:rsid w:val="001B50C3"/>
    <w:rPr>
      <w:b/>
      <w:bCs/>
    </w:rPr>
  </w:style>
  <w:style w:type="character" w:customStyle="1" w:styleId="medium-font">
    <w:name w:val="medium-font"/>
    <w:basedOn w:val="a0"/>
    <w:rsid w:val="001B5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0042"/>
    <w:rPr>
      <w:color w:val="808080"/>
    </w:rPr>
  </w:style>
  <w:style w:type="paragraph" w:styleId="a4">
    <w:name w:val="footnote text"/>
    <w:basedOn w:val="a"/>
    <w:link w:val="a5"/>
    <w:uiPriority w:val="99"/>
    <w:semiHidden/>
    <w:unhideWhenUsed/>
    <w:rsid w:val="006B2AEE"/>
    <w:pPr>
      <w:spacing w:after="0" w:line="240" w:lineRule="auto"/>
    </w:pPr>
    <w:rPr>
      <w:sz w:val="20"/>
      <w:szCs w:val="20"/>
    </w:rPr>
  </w:style>
  <w:style w:type="character" w:customStyle="1" w:styleId="a5">
    <w:name w:val="Текст сноски Знак"/>
    <w:basedOn w:val="a0"/>
    <w:link w:val="a4"/>
    <w:uiPriority w:val="99"/>
    <w:semiHidden/>
    <w:rsid w:val="006B2AEE"/>
    <w:rPr>
      <w:sz w:val="20"/>
      <w:szCs w:val="20"/>
    </w:rPr>
  </w:style>
  <w:style w:type="character" w:styleId="a6">
    <w:name w:val="footnote reference"/>
    <w:basedOn w:val="a0"/>
    <w:uiPriority w:val="99"/>
    <w:semiHidden/>
    <w:unhideWhenUsed/>
    <w:rsid w:val="006B2AEE"/>
    <w:rPr>
      <w:vertAlign w:val="superscript"/>
    </w:rPr>
  </w:style>
  <w:style w:type="table" w:styleId="a7">
    <w:name w:val="Table Grid"/>
    <w:basedOn w:val="a1"/>
    <w:uiPriority w:val="59"/>
    <w:rsid w:val="00BA306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0C01F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C01F9"/>
    <w:pPr>
      <w:ind w:left="720"/>
      <w:contextualSpacing/>
    </w:pPr>
  </w:style>
  <w:style w:type="character" w:customStyle="1" w:styleId="apple-converted-space">
    <w:name w:val="apple-converted-space"/>
    <w:basedOn w:val="a0"/>
    <w:rsid w:val="00457D8F"/>
  </w:style>
  <w:style w:type="character" w:styleId="aa">
    <w:name w:val="Hyperlink"/>
    <w:basedOn w:val="a0"/>
    <w:uiPriority w:val="99"/>
    <w:unhideWhenUsed/>
    <w:rsid w:val="00E04214"/>
    <w:rPr>
      <w:color w:val="0563C1" w:themeColor="hyperlink"/>
      <w:u w:val="single"/>
    </w:rPr>
  </w:style>
  <w:style w:type="character" w:styleId="ab">
    <w:name w:val="FollowedHyperlink"/>
    <w:basedOn w:val="a0"/>
    <w:uiPriority w:val="99"/>
    <w:semiHidden/>
    <w:unhideWhenUsed/>
    <w:rsid w:val="00D72D95"/>
    <w:rPr>
      <w:color w:val="954F72" w:themeColor="followedHyperlink"/>
      <w:u w:val="single"/>
    </w:rPr>
  </w:style>
  <w:style w:type="character" w:customStyle="1" w:styleId="title-link-wrapper">
    <w:name w:val="title-link-wrapper"/>
    <w:basedOn w:val="a0"/>
    <w:rsid w:val="001B50C3"/>
  </w:style>
  <w:style w:type="character" w:styleId="ac">
    <w:name w:val="Strong"/>
    <w:basedOn w:val="a0"/>
    <w:uiPriority w:val="22"/>
    <w:qFormat/>
    <w:rsid w:val="001B50C3"/>
    <w:rPr>
      <w:b/>
      <w:bCs/>
    </w:rPr>
  </w:style>
  <w:style w:type="character" w:customStyle="1" w:styleId="medium-font">
    <w:name w:val="medium-font"/>
    <w:basedOn w:val="a0"/>
    <w:rsid w:val="001B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319">
      <w:bodyDiv w:val="1"/>
      <w:marLeft w:val="0"/>
      <w:marRight w:val="0"/>
      <w:marTop w:val="0"/>
      <w:marBottom w:val="0"/>
      <w:divBdr>
        <w:top w:val="none" w:sz="0" w:space="0" w:color="auto"/>
        <w:left w:val="none" w:sz="0" w:space="0" w:color="auto"/>
        <w:bottom w:val="none" w:sz="0" w:space="0" w:color="auto"/>
        <w:right w:val="none" w:sz="0" w:space="0" w:color="auto"/>
      </w:divBdr>
    </w:div>
    <w:div w:id="38020551">
      <w:bodyDiv w:val="1"/>
      <w:marLeft w:val="0"/>
      <w:marRight w:val="0"/>
      <w:marTop w:val="0"/>
      <w:marBottom w:val="0"/>
      <w:divBdr>
        <w:top w:val="none" w:sz="0" w:space="0" w:color="auto"/>
        <w:left w:val="none" w:sz="0" w:space="0" w:color="auto"/>
        <w:bottom w:val="none" w:sz="0" w:space="0" w:color="auto"/>
        <w:right w:val="none" w:sz="0" w:space="0" w:color="auto"/>
      </w:divBdr>
    </w:div>
    <w:div w:id="278149811">
      <w:bodyDiv w:val="1"/>
      <w:marLeft w:val="0"/>
      <w:marRight w:val="0"/>
      <w:marTop w:val="0"/>
      <w:marBottom w:val="0"/>
      <w:divBdr>
        <w:top w:val="none" w:sz="0" w:space="0" w:color="auto"/>
        <w:left w:val="none" w:sz="0" w:space="0" w:color="auto"/>
        <w:bottom w:val="none" w:sz="0" w:space="0" w:color="auto"/>
        <w:right w:val="none" w:sz="0" w:space="0" w:color="auto"/>
      </w:divBdr>
    </w:div>
    <w:div w:id="409742089">
      <w:bodyDiv w:val="1"/>
      <w:marLeft w:val="0"/>
      <w:marRight w:val="0"/>
      <w:marTop w:val="0"/>
      <w:marBottom w:val="0"/>
      <w:divBdr>
        <w:top w:val="none" w:sz="0" w:space="0" w:color="auto"/>
        <w:left w:val="none" w:sz="0" w:space="0" w:color="auto"/>
        <w:bottom w:val="none" w:sz="0" w:space="0" w:color="auto"/>
        <w:right w:val="none" w:sz="0" w:space="0" w:color="auto"/>
      </w:divBdr>
    </w:div>
    <w:div w:id="459760358">
      <w:bodyDiv w:val="1"/>
      <w:marLeft w:val="0"/>
      <w:marRight w:val="0"/>
      <w:marTop w:val="0"/>
      <w:marBottom w:val="0"/>
      <w:divBdr>
        <w:top w:val="none" w:sz="0" w:space="0" w:color="auto"/>
        <w:left w:val="none" w:sz="0" w:space="0" w:color="auto"/>
        <w:bottom w:val="none" w:sz="0" w:space="0" w:color="auto"/>
        <w:right w:val="none" w:sz="0" w:space="0" w:color="auto"/>
      </w:divBdr>
    </w:div>
    <w:div w:id="716122013">
      <w:bodyDiv w:val="1"/>
      <w:marLeft w:val="0"/>
      <w:marRight w:val="0"/>
      <w:marTop w:val="0"/>
      <w:marBottom w:val="0"/>
      <w:divBdr>
        <w:top w:val="none" w:sz="0" w:space="0" w:color="auto"/>
        <w:left w:val="none" w:sz="0" w:space="0" w:color="auto"/>
        <w:bottom w:val="none" w:sz="0" w:space="0" w:color="auto"/>
        <w:right w:val="none" w:sz="0" w:space="0" w:color="auto"/>
      </w:divBdr>
    </w:div>
    <w:div w:id="765733581">
      <w:bodyDiv w:val="1"/>
      <w:marLeft w:val="0"/>
      <w:marRight w:val="0"/>
      <w:marTop w:val="0"/>
      <w:marBottom w:val="0"/>
      <w:divBdr>
        <w:top w:val="none" w:sz="0" w:space="0" w:color="auto"/>
        <w:left w:val="none" w:sz="0" w:space="0" w:color="auto"/>
        <w:bottom w:val="none" w:sz="0" w:space="0" w:color="auto"/>
        <w:right w:val="none" w:sz="0" w:space="0" w:color="auto"/>
      </w:divBdr>
    </w:div>
    <w:div w:id="829099198">
      <w:bodyDiv w:val="1"/>
      <w:marLeft w:val="0"/>
      <w:marRight w:val="0"/>
      <w:marTop w:val="0"/>
      <w:marBottom w:val="0"/>
      <w:divBdr>
        <w:top w:val="none" w:sz="0" w:space="0" w:color="auto"/>
        <w:left w:val="none" w:sz="0" w:space="0" w:color="auto"/>
        <w:bottom w:val="none" w:sz="0" w:space="0" w:color="auto"/>
        <w:right w:val="none" w:sz="0" w:space="0" w:color="auto"/>
      </w:divBdr>
    </w:div>
    <w:div w:id="854999343">
      <w:bodyDiv w:val="1"/>
      <w:marLeft w:val="0"/>
      <w:marRight w:val="0"/>
      <w:marTop w:val="0"/>
      <w:marBottom w:val="0"/>
      <w:divBdr>
        <w:top w:val="none" w:sz="0" w:space="0" w:color="auto"/>
        <w:left w:val="none" w:sz="0" w:space="0" w:color="auto"/>
        <w:bottom w:val="none" w:sz="0" w:space="0" w:color="auto"/>
        <w:right w:val="none" w:sz="0" w:space="0" w:color="auto"/>
      </w:divBdr>
    </w:div>
    <w:div w:id="855538201">
      <w:bodyDiv w:val="1"/>
      <w:marLeft w:val="0"/>
      <w:marRight w:val="0"/>
      <w:marTop w:val="0"/>
      <w:marBottom w:val="0"/>
      <w:divBdr>
        <w:top w:val="none" w:sz="0" w:space="0" w:color="auto"/>
        <w:left w:val="none" w:sz="0" w:space="0" w:color="auto"/>
        <w:bottom w:val="none" w:sz="0" w:space="0" w:color="auto"/>
        <w:right w:val="none" w:sz="0" w:space="0" w:color="auto"/>
      </w:divBdr>
    </w:div>
    <w:div w:id="862092727">
      <w:bodyDiv w:val="1"/>
      <w:marLeft w:val="0"/>
      <w:marRight w:val="0"/>
      <w:marTop w:val="0"/>
      <w:marBottom w:val="0"/>
      <w:divBdr>
        <w:top w:val="none" w:sz="0" w:space="0" w:color="auto"/>
        <w:left w:val="none" w:sz="0" w:space="0" w:color="auto"/>
        <w:bottom w:val="none" w:sz="0" w:space="0" w:color="auto"/>
        <w:right w:val="none" w:sz="0" w:space="0" w:color="auto"/>
      </w:divBdr>
    </w:div>
    <w:div w:id="948128080">
      <w:bodyDiv w:val="1"/>
      <w:marLeft w:val="0"/>
      <w:marRight w:val="0"/>
      <w:marTop w:val="0"/>
      <w:marBottom w:val="0"/>
      <w:divBdr>
        <w:top w:val="none" w:sz="0" w:space="0" w:color="auto"/>
        <w:left w:val="none" w:sz="0" w:space="0" w:color="auto"/>
        <w:bottom w:val="none" w:sz="0" w:space="0" w:color="auto"/>
        <w:right w:val="none" w:sz="0" w:space="0" w:color="auto"/>
      </w:divBdr>
    </w:div>
    <w:div w:id="1078404445">
      <w:bodyDiv w:val="1"/>
      <w:marLeft w:val="0"/>
      <w:marRight w:val="0"/>
      <w:marTop w:val="0"/>
      <w:marBottom w:val="0"/>
      <w:divBdr>
        <w:top w:val="none" w:sz="0" w:space="0" w:color="auto"/>
        <w:left w:val="none" w:sz="0" w:space="0" w:color="auto"/>
        <w:bottom w:val="none" w:sz="0" w:space="0" w:color="auto"/>
        <w:right w:val="none" w:sz="0" w:space="0" w:color="auto"/>
      </w:divBdr>
    </w:div>
    <w:div w:id="1150095830">
      <w:bodyDiv w:val="1"/>
      <w:marLeft w:val="0"/>
      <w:marRight w:val="0"/>
      <w:marTop w:val="0"/>
      <w:marBottom w:val="0"/>
      <w:divBdr>
        <w:top w:val="none" w:sz="0" w:space="0" w:color="auto"/>
        <w:left w:val="none" w:sz="0" w:space="0" w:color="auto"/>
        <w:bottom w:val="none" w:sz="0" w:space="0" w:color="auto"/>
        <w:right w:val="none" w:sz="0" w:space="0" w:color="auto"/>
      </w:divBdr>
    </w:div>
    <w:div w:id="1304893473">
      <w:bodyDiv w:val="1"/>
      <w:marLeft w:val="0"/>
      <w:marRight w:val="0"/>
      <w:marTop w:val="0"/>
      <w:marBottom w:val="0"/>
      <w:divBdr>
        <w:top w:val="none" w:sz="0" w:space="0" w:color="auto"/>
        <w:left w:val="none" w:sz="0" w:space="0" w:color="auto"/>
        <w:bottom w:val="none" w:sz="0" w:space="0" w:color="auto"/>
        <w:right w:val="none" w:sz="0" w:space="0" w:color="auto"/>
      </w:divBdr>
    </w:div>
    <w:div w:id="1342972109">
      <w:bodyDiv w:val="1"/>
      <w:marLeft w:val="0"/>
      <w:marRight w:val="0"/>
      <w:marTop w:val="0"/>
      <w:marBottom w:val="0"/>
      <w:divBdr>
        <w:top w:val="none" w:sz="0" w:space="0" w:color="auto"/>
        <w:left w:val="none" w:sz="0" w:space="0" w:color="auto"/>
        <w:bottom w:val="none" w:sz="0" w:space="0" w:color="auto"/>
        <w:right w:val="none" w:sz="0" w:space="0" w:color="auto"/>
      </w:divBdr>
    </w:div>
    <w:div w:id="1436826735">
      <w:bodyDiv w:val="1"/>
      <w:marLeft w:val="0"/>
      <w:marRight w:val="0"/>
      <w:marTop w:val="0"/>
      <w:marBottom w:val="0"/>
      <w:divBdr>
        <w:top w:val="none" w:sz="0" w:space="0" w:color="auto"/>
        <w:left w:val="none" w:sz="0" w:space="0" w:color="auto"/>
        <w:bottom w:val="none" w:sz="0" w:space="0" w:color="auto"/>
        <w:right w:val="none" w:sz="0" w:space="0" w:color="auto"/>
      </w:divBdr>
    </w:div>
    <w:div w:id="1588416226">
      <w:bodyDiv w:val="1"/>
      <w:marLeft w:val="0"/>
      <w:marRight w:val="0"/>
      <w:marTop w:val="0"/>
      <w:marBottom w:val="0"/>
      <w:divBdr>
        <w:top w:val="none" w:sz="0" w:space="0" w:color="auto"/>
        <w:left w:val="none" w:sz="0" w:space="0" w:color="auto"/>
        <w:bottom w:val="none" w:sz="0" w:space="0" w:color="auto"/>
        <w:right w:val="none" w:sz="0" w:space="0" w:color="auto"/>
      </w:divBdr>
    </w:div>
    <w:div w:id="1777826517">
      <w:bodyDiv w:val="1"/>
      <w:marLeft w:val="0"/>
      <w:marRight w:val="0"/>
      <w:marTop w:val="0"/>
      <w:marBottom w:val="0"/>
      <w:divBdr>
        <w:top w:val="none" w:sz="0" w:space="0" w:color="auto"/>
        <w:left w:val="none" w:sz="0" w:space="0" w:color="auto"/>
        <w:bottom w:val="none" w:sz="0" w:space="0" w:color="auto"/>
        <w:right w:val="none" w:sz="0" w:space="0" w:color="auto"/>
      </w:divBdr>
    </w:div>
    <w:div w:id="1831359449">
      <w:bodyDiv w:val="1"/>
      <w:marLeft w:val="0"/>
      <w:marRight w:val="0"/>
      <w:marTop w:val="0"/>
      <w:marBottom w:val="0"/>
      <w:divBdr>
        <w:top w:val="none" w:sz="0" w:space="0" w:color="auto"/>
        <w:left w:val="none" w:sz="0" w:space="0" w:color="auto"/>
        <w:bottom w:val="none" w:sz="0" w:space="0" w:color="auto"/>
        <w:right w:val="none" w:sz="0" w:space="0" w:color="auto"/>
      </w:divBdr>
    </w:div>
    <w:div w:id="1839153815">
      <w:bodyDiv w:val="1"/>
      <w:marLeft w:val="0"/>
      <w:marRight w:val="0"/>
      <w:marTop w:val="0"/>
      <w:marBottom w:val="0"/>
      <w:divBdr>
        <w:top w:val="none" w:sz="0" w:space="0" w:color="auto"/>
        <w:left w:val="none" w:sz="0" w:space="0" w:color="auto"/>
        <w:bottom w:val="none" w:sz="0" w:space="0" w:color="auto"/>
        <w:right w:val="none" w:sz="0" w:space="0" w:color="auto"/>
      </w:divBdr>
    </w:div>
    <w:div w:id="1854874983">
      <w:bodyDiv w:val="1"/>
      <w:marLeft w:val="0"/>
      <w:marRight w:val="0"/>
      <w:marTop w:val="0"/>
      <w:marBottom w:val="0"/>
      <w:divBdr>
        <w:top w:val="none" w:sz="0" w:space="0" w:color="auto"/>
        <w:left w:val="none" w:sz="0" w:space="0" w:color="auto"/>
        <w:bottom w:val="none" w:sz="0" w:space="0" w:color="auto"/>
        <w:right w:val="none" w:sz="0" w:space="0" w:color="auto"/>
      </w:divBdr>
    </w:div>
    <w:div w:id="1864900002">
      <w:bodyDiv w:val="1"/>
      <w:marLeft w:val="0"/>
      <w:marRight w:val="0"/>
      <w:marTop w:val="0"/>
      <w:marBottom w:val="0"/>
      <w:divBdr>
        <w:top w:val="none" w:sz="0" w:space="0" w:color="auto"/>
        <w:left w:val="none" w:sz="0" w:space="0" w:color="auto"/>
        <w:bottom w:val="none" w:sz="0" w:space="0" w:color="auto"/>
        <w:right w:val="none" w:sz="0" w:space="0" w:color="auto"/>
      </w:divBdr>
    </w:div>
    <w:div w:id="1985547563">
      <w:bodyDiv w:val="1"/>
      <w:marLeft w:val="0"/>
      <w:marRight w:val="0"/>
      <w:marTop w:val="0"/>
      <w:marBottom w:val="0"/>
      <w:divBdr>
        <w:top w:val="none" w:sz="0" w:space="0" w:color="auto"/>
        <w:left w:val="none" w:sz="0" w:space="0" w:color="auto"/>
        <w:bottom w:val="none" w:sz="0" w:space="0" w:color="auto"/>
        <w:right w:val="none" w:sz="0" w:space="0" w:color="auto"/>
      </w:divBdr>
    </w:div>
    <w:div w:id="2066946483">
      <w:bodyDiv w:val="1"/>
      <w:marLeft w:val="0"/>
      <w:marRight w:val="0"/>
      <w:marTop w:val="0"/>
      <w:marBottom w:val="0"/>
      <w:divBdr>
        <w:top w:val="none" w:sz="0" w:space="0" w:color="auto"/>
        <w:left w:val="none" w:sz="0" w:space="0" w:color="auto"/>
        <w:bottom w:val="none" w:sz="0" w:space="0" w:color="auto"/>
        <w:right w:val="none" w:sz="0" w:space="0" w:color="auto"/>
      </w:divBdr>
    </w:div>
    <w:div w:id="21218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uters.com/article/2014/05/26/olympics-krakow-referendum-idUSL6N0OC1K820140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thegames.biz/olympics/winter-olympics/2022/1021147-it-is-important-we-convince-norwegians-that-oslo-2022-will-not-be-like-sochi-2014-admits-chief-executive.%20Last%20accessed%2024/07/2014" TargetMode="External"/><Relationship Id="rId5" Type="http://schemas.openxmlformats.org/officeDocument/2006/relationships/settings" Target="settings.xml"/><Relationship Id="rId10" Type="http://schemas.openxmlformats.org/officeDocument/2006/relationships/hyperlink" Target="http://www.insidethegames.biz/olympics/winter-olympics/2022/1014547-munich-sets-date-for-referendum-on-whether-to-bid-for-2022-winter-olympics-and-paralympics" TargetMode="External"/><Relationship Id="rId4" Type="http://schemas.microsoft.com/office/2007/relationships/stylesWithEffects" Target="stylesWithEffects.xml"/><Relationship Id="rId9" Type="http://schemas.openxmlformats.org/officeDocument/2006/relationships/hyperlink" Target="javascript:__doLinkPostBack('','ss%7E%7EJN%20%22Regional%20Studies%22%7C%7Csl%7E%7E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B7E8-4174-41D2-973A-9ABCB32A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5615</Words>
  <Characters>32008</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Coates</dc:creator>
  <cp:keywords/>
  <dc:description/>
  <cp:lastModifiedBy>Anna Shtennikova</cp:lastModifiedBy>
  <cp:revision>2</cp:revision>
  <dcterms:created xsi:type="dcterms:W3CDTF">2014-09-18T12:50:00Z</dcterms:created>
  <dcterms:modified xsi:type="dcterms:W3CDTF">2014-09-18T12:50:00Z</dcterms:modified>
</cp:coreProperties>
</file>