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969" w:rsidRPr="00640EB7" w:rsidRDefault="00D94969" w:rsidP="00640EB7">
      <w:pPr>
        <w:spacing w:after="0"/>
        <w:jc w:val="center"/>
        <w:rPr>
          <w:b/>
          <w:sz w:val="32"/>
        </w:rPr>
      </w:pPr>
      <w:r>
        <w:rPr>
          <w:b/>
          <w:sz w:val="32"/>
        </w:rPr>
        <w:t>ОЦЕНКА ВЕРОЯТНОСТИ ДЕФОЛТА КОМПАНИЙ ПИЩЕВОЙ ПРОМЫШЛЕННОСТИ</w:t>
      </w:r>
    </w:p>
    <w:p w:rsidR="00D94969" w:rsidRDefault="00D94969" w:rsidP="00640EB7">
      <w:pPr>
        <w:spacing w:after="0"/>
        <w:jc w:val="center"/>
      </w:pPr>
    </w:p>
    <w:p w:rsidR="00D94969" w:rsidRPr="00CD2BB6" w:rsidRDefault="00D94969" w:rsidP="00640EB7">
      <w:pPr>
        <w:spacing w:after="0" w:line="240" w:lineRule="auto"/>
        <w:jc w:val="right"/>
        <w:rPr>
          <w:b/>
          <w:i/>
        </w:rPr>
      </w:pPr>
      <w:r>
        <w:rPr>
          <w:b/>
          <w:i/>
        </w:rPr>
        <w:t>Баранов Даниил Сергеевич</w:t>
      </w:r>
    </w:p>
    <w:p w:rsidR="00D94969" w:rsidRPr="00640EB7" w:rsidRDefault="00D94969" w:rsidP="00640EB7">
      <w:pPr>
        <w:spacing w:after="0" w:line="240" w:lineRule="auto"/>
        <w:jc w:val="right"/>
        <w:rPr>
          <w:i/>
        </w:rPr>
      </w:pPr>
      <w:r w:rsidRPr="00640EB7">
        <w:rPr>
          <w:i/>
        </w:rPr>
        <w:t xml:space="preserve">студент </w:t>
      </w:r>
      <w:r>
        <w:rPr>
          <w:i/>
        </w:rPr>
        <w:t>3</w:t>
      </w:r>
      <w:r w:rsidRPr="00640EB7">
        <w:rPr>
          <w:i/>
        </w:rPr>
        <w:t xml:space="preserve"> курса </w:t>
      </w:r>
      <w:proofErr w:type="spellStart"/>
      <w:r w:rsidRPr="00640EB7">
        <w:rPr>
          <w:i/>
        </w:rPr>
        <w:t>бакалавриата</w:t>
      </w:r>
      <w:proofErr w:type="spellEnd"/>
      <w:r w:rsidRPr="00640EB7">
        <w:rPr>
          <w:i/>
        </w:rPr>
        <w:t>, факультет экономики</w:t>
      </w:r>
    </w:p>
    <w:p w:rsidR="00D94969" w:rsidRPr="00640EB7" w:rsidRDefault="00D94969" w:rsidP="00640EB7">
      <w:pPr>
        <w:spacing w:after="0" w:line="240" w:lineRule="auto"/>
        <w:jc w:val="right"/>
        <w:rPr>
          <w:i/>
        </w:rPr>
      </w:pPr>
      <w:r w:rsidRPr="00640EB7">
        <w:rPr>
          <w:i/>
        </w:rPr>
        <w:t>НИУ ВШЭ – Пермь, г. Пермь</w:t>
      </w:r>
    </w:p>
    <w:p w:rsidR="00D94969" w:rsidRPr="00CD2BB6" w:rsidRDefault="00D94969" w:rsidP="00640EB7">
      <w:pPr>
        <w:spacing w:after="0" w:line="240" w:lineRule="auto"/>
        <w:jc w:val="right"/>
        <w:rPr>
          <w:i/>
        </w:rPr>
      </w:pPr>
      <w:r w:rsidRPr="00640EB7">
        <w:rPr>
          <w:i/>
          <w:lang w:val="en-US"/>
        </w:rPr>
        <w:t>E</w:t>
      </w:r>
      <w:r w:rsidRPr="00640EB7">
        <w:rPr>
          <w:i/>
        </w:rPr>
        <w:t>-</w:t>
      </w:r>
      <w:r w:rsidRPr="00640EB7">
        <w:rPr>
          <w:i/>
          <w:lang w:val="en-US"/>
        </w:rPr>
        <w:t>mail</w:t>
      </w:r>
      <w:r w:rsidRPr="00640EB7">
        <w:rPr>
          <w:i/>
        </w:rPr>
        <w:t xml:space="preserve">: </w:t>
      </w:r>
      <w:proofErr w:type="spellStart"/>
      <w:r>
        <w:rPr>
          <w:i/>
          <w:lang w:val="en-US"/>
        </w:rPr>
        <w:t>bisnesdan</w:t>
      </w:r>
      <w:proofErr w:type="spellEnd"/>
      <w:r w:rsidRPr="00CD2BB6">
        <w:rPr>
          <w:i/>
        </w:rPr>
        <w:t>@</w:t>
      </w:r>
      <w:r>
        <w:rPr>
          <w:i/>
          <w:lang w:val="en-US"/>
        </w:rPr>
        <w:t>mail</w:t>
      </w:r>
      <w:r w:rsidRPr="00CD2BB6">
        <w:rPr>
          <w:i/>
        </w:rPr>
        <w:t>.</w:t>
      </w:r>
      <w:proofErr w:type="spellStart"/>
      <w:r>
        <w:rPr>
          <w:i/>
          <w:lang w:val="en-US"/>
        </w:rPr>
        <w:t>ru</w:t>
      </w:r>
      <w:proofErr w:type="spellEnd"/>
    </w:p>
    <w:p w:rsidR="00D94969" w:rsidRDefault="00D94969" w:rsidP="00640EB7">
      <w:pPr>
        <w:spacing w:after="0" w:line="240" w:lineRule="auto"/>
        <w:jc w:val="right"/>
        <w:rPr>
          <w:b/>
          <w:i/>
        </w:rPr>
      </w:pPr>
    </w:p>
    <w:p w:rsidR="00D94969" w:rsidRPr="006C3FCA" w:rsidRDefault="00D94969" w:rsidP="00640EB7">
      <w:pPr>
        <w:spacing w:after="0" w:line="240" w:lineRule="auto"/>
        <w:jc w:val="right"/>
        <w:rPr>
          <w:b/>
          <w:i/>
        </w:rPr>
      </w:pPr>
      <w:r>
        <w:rPr>
          <w:b/>
          <w:i/>
        </w:rPr>
        <w:t>Научный руководитель: Лозинская А. М</w:t>
      </w:r>
      <w:r w:rsidRPr="00640EB7">
        <w:rPr>
          <w:b/>
          <w:i/>
        </w:rPr>
        <w:t>.</w:t>
      </w:r>
    </w:p>
    <w:p w:rsidR="00AC7976" w:rsidRDefault="00AC7976" w:rsidP="00AC7976">
      <w:pPr>
        <w:spacing w:after="0" w:line="240" w:lineRule="auto"/>
        <w:ind w:left="709" w:hanging="709"/>
        <w:jc w:val="right"/>
        <w:rPr>
          <w:i/>
          <w:szCs w:val="28"/>
        </w:rPr>
      </w:pPr>
      <w:r>
        <w:rPr>
          <w:i/>
          <w:szCs w:val="28"/>
        </w:rPr>
        <w:t xml:space="preserve">старший преподаватель кафедры </w:t>
      </w:r>
      <w:proofErr w:type="spellStart"/>
      <w:r>
        <w:rPr>
          <w:i/>
          <w:szCs w:val="28"/>
        </w:rPr>
        <w:t>ПМиМСС</w:t>
      </w:r>
      <w:proofErr w:type="spellEnd"/>
    </w:p>
    <w:p w:rsidR="00D94969" w:rsidRPr="00CD2BB6" w:rsidRDefault="00D94969" w:rsidP="00640EB7">
      <w:pPr>
        <w:spacing w:after="0" w:line="240" w:lineRule="auto"/>
        <w:jc w:val="right"/>
        <w:rPr>
          <w:i/>
        </w:rPr>
      </w:pPr>
      <w:r w:rsidRPr="00640EB7">
        <w:rPr>
          <w:i/>
        </w:rPr>
        <w:t>НИУ</w:t>
      </w:r>
      <w:r w:rsidR="00AC7976" w:rsidRPr="00AC7976">
        <w:rPr>
          <w:i/>
        </w:rPr>
        <w:t xml:space="preserve"> </w:t>
      </w:r>
      <w:r w:rsidRPr="00640EB7">
        <w:rPr>
          <w:i/>
        </w:rPr>
        <w:t>ВШЭ</w:t>
      </w:r>
      <w:r w:rsidRPr="00CD2BB6">
        <w:rPr>
          <w:i/>
        </w:rPr>
        <w:t xml:space="preserve"> – </w:t>
      </w:r>
      <w:r w:rsidRPr="00640EB7">
        <w:rPr>
          <w:i/>
        </w:rPr>
        <w:t>Пермь</w:t>
      </w:r>
      <w:r w:rsidRPr="00CD2BB6">
        <w:rPr>
          <w:i/>
        </w:rPr>
        <w:t xml:space="preserve">, </w:t>
      </w:r>
      <w:r w:rsidRPr="00640EB7">
        <w:rPr>
          <w:i/>
        </w:rPr>
        <w:t>г</w:t>
      </w:r>
      <w:r w:rsidRPr="00CD2BB6">
        <w:rPr>
          <w:i/>
        </w:rPr>
        <w:t xml:space="preserve">. </w:t>
      </w:r>
      <w:r w:rsidRPr="00640EB7">
        <w:rPr>
          <w:i/>
        </w:rPr>
        <w:t>Пермь</w:t>
      </w:r>
    </w:p>
    <w:p w:rsidR="00D94969" w:rsidRPr="006C3FCA" w:rsidRDefault="00D94969" w:rsidP="00640EB7">
      <w:pPr>
        <w:spacing w:after="0" w:line="240" w:lineRule="auto"/>
        <w:jc w:val="right"/>
        <w:rPr>
          <w:lang w:val="en-US"/>
        </w:rPr>
      </w:pPr>
      <w:r w:rsidRPr="00640EB7">
        <w:rPr>
          <w:i/>
          <w:lang w:val="en-US"/>
        </w:rPr>
        <w:t>E</w:t>
      </w:r>
      <w:r w:rsidRPr="006C3FCA">
        <w:rPr>
          <w:i/>
          <w:lang w:val="en-US"/>
        </w:rPr>
        <w:t>-</w:t>
      </w:r>
      <w:r w:rsidRPr="00640EB7">
        <w:rPr>
          <w:i/>
          <w:lang w:val="en-US"/>
        </w:rPr>
        <w:t>mail</w:t>
      </w:r>
      <w:r w:rsidRPr="006C3FCA">
        <w:rPr>
          <w:i/>
          <w:lang w:val="en-US"/>
        </w:rPr>
        <w:t>: AMPoroshina@gmail.com</w:t>
      </w:r>
    </w:p>
    <w:p w:rsidR="00D94969" w:rsidRPr="006C3FCA" w:rsidRDefault="00D94969" w:rsidP="00640EB7">
      <w:pPr>
        <w:spacing w:after="0"/>
        <w:jc w:val="center"/>
        <w:rPr>
          <w:b/>
          <w:lang w:val="en-US"/>
        </w:rPr>
      </w:pPr>
    </w:p>
    <w:p w:rsidR="00D94969" w:rsidRPr="00CD2BB6" w:rsidRDefault="00D94969" w:rsidP="00640EB7">
      <w:pPr>
        <w:spacing w:after="0"/>
        <w:jc w:val="center"/>
        <w:rPr>
          <w:b/>
          <w:lang w:val="en-US"/>
        </w:rPr>
      </w:pPr>
      <w:r>
        <w:rPr>
          <w:b/>
          <w:lang w:val="en-US"/>
        </w:rPr>
        <w:t>ABSTRACT</w:t>
      </w:r>
    </w:p>
    <w:p w:rsidR="00D94969" w:rsidRPr="008E3007" w:rsidRDefault="00D94969" w:rsidP="00BB2921">
      <w:pPr>
        <w:spacing w:after="0"/>
        <w:ind w:firstLine="709"/>
        <w:jc w:val="both"/>
        <w:rPr>
          <w:i/>
          <w:lang w:val="en-US"/>
        </w:rPr>
      </w:pPr>
      <w:r w:rsidRPr="00CD2BB6">
        <w:rPr>
          <w:i/>
          <w:lang w:val="en-US"/>
        </w:rPr>
        <w:t xml:space="preserve">In the article the author has constructed the econometric model with the help of which it is possible to predict default of food industry companies. Information that the model gives can be useful for creating systems of credit risk management. </w:t>
      </w:r>
    </w:p>
    <w:p w:rsidR="00D94969" w:rsidRPr="008E3007" w:rsidRDefault="00D94969" w:rsidP="00CD2BB6">
      <w:pPr>
        <w:spacing w:after="0"/>
        <w:ind w:firstLine="709"/>
        <w:jc w:val="both"/>
        <w:rPr>
          <w:i/>
          <w:szCs w:val="32"/>
          <w:lang w:val="en-US"/>
        </w:rPr>
      </w:pPr>
      <w:r w:rsidRPr="00BB2921">
        <w:rPr>
          <w:b/>
          <w:lang w:val="en-US"/>
        </w:rPr>
        <w:t>Key</w:t>
      </w:r>
      <w:r w:rsidRPr="00CD2BB6">
        <w:rPr>
          <w:b/>
          <w:lang w:val="en-US"/>
        </w:rPr>
        <w:t xml:space="preserve"> </w:t>
      </w:r>
      <w:r w:rsidRPr="00BB2921">
        <w:rPr>
          <w:b/>
          <w:lang w:val="en-US"/>
        </w:rPr>
        <w:t>words</w:t>
      </w:r>
      <w:r w:rsidRPr="00CD2BB6">
        <w:rPr>
          <w:b/>
          <w:lang w:val="en-US"/>
        </w:rPr>
        <w:t>:</w:t>
      </w:r>
      <w:r w:rsidRPr="00CD2BB6">
        <w:rPr>
          <w:lang w:val="en-US"/>
        </w:rPr>
        <w:t xml:space="preserve"> </w:t>
      </w:r>
      <w:r>
        <w:rPr>
          <w:i/>
          <w:szCs w:val="32"/>
          <w:lang w:val="en-US"/>
        </w:rPr>
        <w:t>default</w:t>
      </w:r>
      <w:r w:rsidRPr="00E06EB0">
        <w:rPr>
          <w:i/>
          <w:szCs w:val="32"/>
          <w:lang w:val="en-US"/>
        </w:rPr>
        <w:t xml:space="preserve">, </w:t>
      </w:r>
      <w:r>
        <w:rPr>
          <w:i/>
          <w:szCs w:val="32"/>
          <w:lang w:val="en-US"/>
        </w:rPr>
        <w:t>food industry</w:t>
      </w:r>
      <w:r w:rsidRPr="00E06EB0">
        <w:rPr>
          <w:i/>
          <w:szCs w:val="32"/>
          <w:lang w:val="en-US"/>
        </w:rPr>
        <w:t>, mathematical modeling</w:t>
      </w:r>
    </w:p>
    <w:p w:rsidR="00D94969" w:rsidRPr="008E3007" w:rsidRDefault="00D94969" w:rsidP="00CD2BB6">
      <w:pPr>
        <w:spacing w:after="0"/>
        <w:ind w:firstLine="709"/>
        <w:jc w:val="both"/>
        <w:rPr>
          <w:b/>
          <w:lang w:val="en-US"/>
        </w:rPr>
      </w:pPr>
    </w:p>
    <w:p w:rsidR="00D94969" w:rsidRPr="008E3007" w:rsidRDefault="00D94969" w:rsidP="00640EB7">
      <w:pPr>
        <w:spacing w:after="0"/>
        <w:jc w:val="center"/>
        <w:rPr>
          <w:b/>
        </w:rPr>
      </w:pPr>
      <w:r>
        <w:rPr>
          <w:b/>
        </w:rPr>
        <w:t>АННОТАЦИЯ</w:t>
      </w:r>
    </w:p>
    <w:p w:rsidR="00D94969" w:rsidRDefault="00D94969" w:rsidP="00BB2921">
      <w:pPr>
        <w:spacing w:after="0"/>
        <w:ind w:firstLine="709"/>
        <w:jc w:val="both"/>
        <w:rPr>
          <w:i/>
        </w:rPr>
      </w:pPr>
      <w:r w:rsidRPr="00CD2BB6">
        <w:rPr>
          <w:i/>
        </w:rPr>
        <w:t>В данном исследовании разработана эконометрическая модель, с помощью которой возможно предсказывать дефолт компаний пищевой промышленности. Информация, полученная на основе данной модели, может быть полезна при создании систем управления кредитными рисками.</w:t>
      </w:r>
    </w:p>
    <w:p w:rsidR="00D94969" w:rsidRPr="00CD2BB6" w:rsidRDefault="00D94969" w:rsidP="00CD2BB6">
      <w:pPr>
        <w:spacing w:after="0"/>
        <w:ind w:firstLine="709"/>
        <w:jc w:val="both"/>
        <w:rPr>
          <w:i/>
        </w:rPr>
      </w:pPr>
      <w:r w:rsidRPr="00BB2921">
        <w:rPr>
          <w:b/>
        </w:rPr>
        <w:t>Ключевые</w:t>
      </w:r>
      <w:r w:rsidRPr="00CD2BB6">
        <w:rPr>
          <w:b/>
        </w:rPr>
        <w:t xml:space="preserve"> </w:t>
      </w:r>
      <w:r w:rsidRPr="00BB2921">
        <w:rPr>
          <w:b/>
        </w:rPr>
        <w:t>слова</w:t>
      </w:r>
      <w:r w:rsidRPr="00CD2BB6">
        <w:rPr>
          <w:b/>
        </w:rPr>
        <w:t>:</w:t>
      </w:r>
      <w:r w:rsidRPr="00CD2BB6">
        <w:rPr>
          <w:i/>
          <w:szCs w:val="32"/>
        </w:rPr>
        <w:t xml:space="preserve"> </w:t>
      </w:r>
      <w:r w:rsidRPr="00CD2BB6">
        <w:rPr>
          <w:i/>
        </w:rPr>
        <w:t>дефолт, пищевая промышленность, математическое моделирование</w:t>
      </w:r>
    </w:p>
    <w:p w:rsidR="00D94969" w:rsidRPr="00CD2BB6" w:rsidRDefault="00D94969" w:rsidP="00BB2921">
      <w:pPr>
        <w:spacing w:after="0"/>
        <w:jc w:val="both"/>
        <w:rPr>
          <w:i/>
        </w:rPr>
      </w:pPr>
    </w:p>
    <w:p w:rsidR="00D94969" w:rsidRPr="009028AC" w:rsidRDefault="00D94969" w:rsidP="00CD2BB6">
      <w:pPr>
        <w:pStyle w:val="a4"/>
        <w:spacing w:line="360" w:lineRule="auto"/>
        <w:ind w:firstLine="709"/>
        <w:jc w:val="both"/>
        <w:rPr>
          <w:rFonts w:ascii="Times New Roman" w:hAnsi="Times New Roman"/>
          <w:sz w:val="28"/>
        </w:rPr>
      </w:pPr>
      <w:r w:rsidRPr="00936D79">
        <w:rPr>
          <w:rFonts w:ascii="Times New Roman" w:hAnsi="Times New Roman"/>
          <w:sz w:val="28"/>
        </w:rPr>
        <w:t xml:space="preserve">На сегодняшний день рынок кредитования юридических лиц имеет большие темпы роста. В связи с этим кредитные организации, стараясь увеличить собственную прибыль, порой сталкиваются с проблемой немалого количества неработающих активов. Основная причина данной проблемы состоит в том, что предприятия, которым выдается заем, оказываются в состоянии дефолта, то есть не могут обслуживать свои долговые обязательства. </w:t>
      </w:r>
      <w:r w:rsidRPr="00936D79">
        <w:rPr>
          <w:rFonts w:ascii="Times New Roman" w:hAnsi="Times New Roman"/>
          <w:sz w:val="28"/>
        </w:rPr>
        <w:lastRenderedPageBreak/>
        <w:t>Описанная выше проблема достаточно остро представлена в сфере пищевой промышленности, так как по данным Банка России, компании, вид деятельности которых связан с данной отраслью, имеют немалые объемы просрочен</w:t>
      </w:r>
      <w:r>
        <w:rPr>
          <w:rFonts w:ascii="Times New Roman" w:hAnsi="Times New Roman"/>
          <w:sz w:val="28"/>
        </w:rPr>
        <w:t>ной задолженности</w:t>
      </w:r>
      <w:r w:rsidRPr="00936D79">
        <w:rPr>
          <w:rFonts w:ascii="Times New Roman" w:hAnsi="Times New Roman"/>
          <w:sz w:val="28"/>
        </w:rPr>
        <w:t xml:space="preserve">.  Следовательно, возникает необходимость в создании инструмента, с помощью которого возможно прогнозировать состояние платежеспособности предприятий пищевой промышленности. </w:t>
      </w:r>
    </w:p>
    <w:p w:rsidR="00D94969" w:rsidRPr="009028AC" w:rsidRDefault="00D94969" w:rsidP="00CD2BB6">
      <w:pPr>
        <w:pStyle w:val="a4"/>
        <w:spacing w:line="360" w:lineRule="auto"/>
        <w:ind w:firstLine="709"/>
        <w:jc w:val="both"/>
        <w:rPr>
          <w:rFonts w:ascii="Times New Roman" w:hAnsi="Times New Roman"/>
          <w:sz w:val="28"/>
        </w:rPr>
      </w:pPr>
      <w:r w:rsidRPr="00936D79">
        <w:rPr>
          <w:rFonts w:ascii="Times New Roman" w:hAnsi="Times New Roman"/>
          <w:sz w:val="28"/>
        </w:rPr>
        <w:t>Целью данной работы является разработка эконометрической модели, на основе которой возможно оценить вероятность дефолта компаний пищевой промышленности.</w:t>
      </w:r>
    </w:p>
    <w:p w:rsidR="00115EE4" w:rsidRPr="00115EE4" w:rsidRDefault="00D94969" w:rsidP="00115EE4">
      <w:pPr>
        <w:pStyle w:val="a4"/>
        <w:spacing w:line="360" w:lineRule="auto"/>
        <w:ind w:firstLine="709"/>
        <w:jc w:val="both"/>
        <w:rPr>
          <w:rFonts w:ascii="Times New Roman" w:hAnsi="Times New Roman"/>
          <w:sz w:val="28"/>
        </w:rPr>
      </w:pPr>
      <w:r w:rsidRPr="00E06EB0">
        <w:rPr>
          <w:rFonts w:ascii="Times New Roman" w:hAnsi="Times New Roman"/>
          <w:sz w:val="28"/>
        </w:rPr>
        <w:t>В данном исследовании для оценки вероятности банкротства компаний использовалась логистическая регрессия, которая относится к классу моделей бинарного выбора. Основная особенность таких моделей заключается в том, что зависимая переменная является бинарной, то есть принимает значение единицы, если компания обанкротилась, и нуля в противном случае. В рамках логистической регрессии формальный вид данной модели выглядит следующим образом:</w:t>
      </w:r>
    </w:p>
    <w:p w:rsidR="00D94969" w:rsidRPr="00CD2BB6" w:rsidRDefault="00D94969" w:rsidP="00CD2BB6">
      <w:pPr>
        <w:pStyle w:val="a4"/>
        <w:spacing w:line="360" w:lineRule="auto"/>
        <w:ind w:firstLine="709"/>
        <w:jc w:val="center"/>
        <w:rPr>
          <w:rFonts w:ascii="Times New Roman" w:hAnsi="Times New Roman"/>
          <w:sz w:val="28"/>
        </w:rPr>
      </w:pPr>
      <w:r w:rsidRPr="00CD2BB6">
        <w:rPr>
          <w:rFonts w:ascii="Times New Roman" w:hAnsi="Times New Roman"/>
          <w:position w:val="-52"/>
          <w:sz w:val="28"/>
        </w:rPr>
        <w:object w:dxaOrig="260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45pt;height:57.95pt" o:ole="">
            <v:imagedata r:id="rId6" o:title=""/>
          </v:shape>
          <o:OLEObject Type="Embed" ProgID="Equation.3" ShapeID="_x0000_i1025" DrawAspect="Content" ObjectID="_1474562729" r:id="rId7"/>
        </w:object>
      </w:r>
    </w:p>
    <w:p w:rsidR="00D94969" w:rsidRPr="00E25282" w:rsidRDefault="00D94969" w:rsidP="007B352C">
      <w:pPr>
        <w:pStyle w:val="a4"/>
        <w:spacing w:after="120" w:line="360" w:lineRule="auto"/>
        <w:ind w:firstLine="709"/>
        <w:jc w:val="both"/>
        <w:rPr>
          <w:rFonts w:ascii="Times New Roman" w:hAnsi="Times New Roman"/>
          <w:sz w:val="28"/>
        </w:rPr>
      </w:pPr>
      <w:r w:rsidRPr="00E06EB0">
        <w:rPr>
          <w:rFonts w:ascii="Times New Roman" w:hAnsi="Times New Roman"/>
          <w:sz w:val="28"/>
        </w:rPr>
        <w:t xml:space="preserve">где </w:t>
      </w:r>
      <w:r w:rsidRPr="00FA51DA">
        <w:rPr>
          <w:rFonts w:ascii="Times New Roman" w:hAnsi="Times New Roman"/>
          <w:position w:val="-12"/>
          <w:sz w:val="28"/>
        </w:rPr>
        <w:object w:dxaOrig="940" w:dyaOrig="360">
          <v:shape id="_x0000_i1026" type="#_x0000_t75" style="width:47.7pt;height:18.7pt" o:ole="">
            <v:imagedata r:id="rId8" o:title=""/>
          </v:shape>
          <o:OLEObject Type="Embed" ProgID="Equation.3" ShapeID="_x0000_i1026" DrawAspect="Content" ObjectID="_1474562730" r:id="rId9"/>
        </w:object>
      </w:r>
      <w:r w:rsidRPr="00E06EB0">
        <w:rPr>
          <w:rFonts w:ascii="Times New Roman" w:hAnsi="Times New Roman"/>
          <w:sz w:val="28"/>
        </w:rPr>
        <w:t xml:space="preserve"> – вероятность банкротства i-ой компании;</w:t>
      </w:r>
      <w:r>
        <w:rPr>
          <w:rFonts w:ascii="Times New Roman" w:hAnsi="Times New Roman"/>
          <w:sz w:val="28"/>
        </w:rPr>
        <w:t xml:space="preserve"> </w:t>
      </w:r>
      <w:r w:rsidRPr="00FA51DA">
        <w:rPr>
          <w:rFonts w:ascii="Times New Roman" w:hAnsi="Times New Roman"/>
          <w:position w:val="-14"/>
          <w:sz w:val="28"/>
        </w:rPr>
        <w:object w:dxaOrig="279" w:dyaOrig="380">
          <v:shape id="_x0000_i1027" type="#_x0000_t75" style="width:14.05pt;height:18.7pt" o:ole="">
            <v:imagedata r:id="rId10" o:title=""/>
          </v:shape>
          <o:OLEObject Type="Embed" ProgID="Equation.3" ShapeID="_x0000_i1027" DrawAspect="Content" ObjectID="_1474562731" r:id="rId11"/>
        </w:object>
      </w:r>
      <w:r>
        <w:rPr>
          <w:rFonts w:ascii="Times New Roman" w:hAnsi="Times New Roman"/>
          <w:sz w:val="28"/>
        </w:rPr>
        <w:t xml:space="preserve"> </w:t>
      </w:r>
      <w:r w:rsidRPr="00E06EB0">
        <w:rPr>
          <w:rFonts w:ascii="Times New Roman" w:hAnsi="Times New Roman"/>
          <w:sz w:val="28"/>
        </w:rPr>
        <w:t>– значение j-</w:t>
      </w:r>
      <w:proofErr w:type="spellStart"/>
      <w:r w:rsidRPr="00E06EB0">
        <w:rPr>
          <w:rFonts w:ascii="Times New Roman" w:hAnsi="Times New Roman"/>
          <w:sz w:val="28"/>
        </w:rPr>
        <w:t>го</w:t>
      </w:r>
      <w:proofErr w:type="spellEnd"/>
      <w:r w:rsidRPr="00E06EB0">
        <w:rPr>
          <w:rFonts w:ascii="Times New Roman" w:hAnsi="Times New Roman"/>
          <w:sz w:val="28"/>
        </w:rPr>
        <w:t xml:space="preserve"> фактора для </w:t>
      </w:r>
      <w:proofErr w:type="spellStart"/>
      <w:r w:rsidRPr="00E06EB0">
        <w:rPr>
          <w:rFonts w:ascii="Times New Roman" w:hAnsi="Times New Roman"/>
          <w:sz w:val="28"/>
          <w:lang w:val="en-US"/>
        </w:rPr>
        <w:t>i</w:t>
      </w:r>
      <w:proofErr w:type="spellEnd"/>
      <w:r w:rsidRPr="00E06EB0">
        <w:rPr>
          <w:rFonts w:ascii="Times New Roman" w:hAnsi="Times New Roman"/>
          <w:sz w:val="28"/>
        </w:rPr>
        <w:t xml:space="preserve">-ой компании; </w:t>
      </w:r>
      <w:r w:rsidRPr="00FA51DA">
        <w:rPr>
          <w:rFonts w:ascii="Times New Roman" w:hAnsi="Times New Roman"/>
          <w:position w:val="-14"/>
          <w:sz w:val="28"/>
        </w:rPr>
        <w:object w:dxaOrig="260" w:dyaOrig="380">
          <v:shape id="_x0000_i1028" type="#_x0000_t75" style="width:13.1pt;height:18.7pt" o:ole="">
            <v:imagedata r:id="rId12" o:title=""/>
          </v:shape>
          <o:OLEObject Type="Embed" ProgID="Equation.3" ShapeID="_x0000_i1028" DrawAspect="Content" ObjectID="_1474562732" r:id="rId13"/>
        </w:object>
      </w:r>
      <w:r>
        <w:rPr>
          <w:rFonts w:ascii="Times New Roman" w:hAnsi="Times New Roman"/>
          <w:sz w:val="28"/>
        </w:rPr>
        <w:t xml:space="preserve"> </w:t>
      </w:r>
      <w:r w:rsidRPr="00E06EB0">
        <w:rPr>
          <w:rFonts w:ascii="Times New Roman" w:hAnsi="Times New Roman"/>
          <w:sz w:val="28"/>
        </w:rPr>
        <w:t xml:space="preserve">– коэффициент регрессии для </w:t>
      </w:r>
      <w:r w:rsidRPr="00E06EB0">
        <w:rPr>
          <w:rFonts w:ascii="Times New Roman" w:hAnsi="Times New Roman"/>
          <w:sz w:val="28"/>
          <w:lang w:val="en-US"/>
        </w:rPr>
        <w:t>j</w:t>
      </w:r>
      <w:r w:rsidRPr="00E06EB0">
        <w:rPr>
          <w:rFonts w:ascii="Times New Roman" w:hAnsi="Times New Roman"/>
          <w:sz w:val="28"/>
        </w:rPr>
        <w:t xml:space="preserve">-го фактора. </w:t>
      </w:r>
    </w:p>
    <w:p w:rsidR="00D94969" w:rsidRPr="00E06EB0" w:rsidRDefault="00D94969" w:rsidP="007B352C">
      <w:pPr>
        <w:pStyle w:val="a4"/>
        <w:spacing w:line="360" w:lineRule="auto"/>
        <w:ind w:firstLine="709"/>
        <w:jc w:val="both"/>
        <w:rPr>
          <w:rFonts w:ascii="Times New Roman" w:hAnsi="Times New Roman"/>
          <w:sz w:val="28"/>
        </w:rPr>
      </w:pPr>
      <w:r w:rsidRPr="00E06EB0">
        <w:rPr>
          <w:rFonts w:ascii="Times New Roman" w:hAnsi="Times New Roman"/>
          <w:sz w:val="28"/>
        </w:rPr>
        <w:t>Таким образом, в рамках описанного выше метода моделирования вероятности банкротства процедура построения модели включает следующие этапы:</w:t>
      </w:r>
    </w:p>
    <w:p w:rsidR="00D94969" w:rsidRPr="00E06EB0" w:rsidRDefault="00D94969" w:rsidP="008A500E">
      <w:pPr>
        <w:pStyle w:val="a4"/>
        <w:spacing w:line="360" w:lineRule="auto"/>
        <w:ind w:left="1134" w:hanging="425"/>
        <w:jc w:val="both"/>
        <w:rPr>
          <w:rFonts w:ascii="Times New Roman" w:hAnsi="Times New Roman"/>
          <w:sz w:val="28"/>
        </w:rPr>
      </w:pPr>
      <w:r w:rsidRPr="00A15438">
        <w:rPr>
          <w:rFonts w:ascii="Times New Roman" w:hAnsi="Times New Roman"/>
          <w:sz w:val="28"/>
        </w:rPr>
        <w:t>1.</w:t>
      </w:r>
      <w:r w:rsidR="008A500E" w:rsidRPr="008A500E">
        <w:rPr>
          <w:rFonts w:ascii="Times New Roman" w:hAnsi="Times New Roman"/>
          <w:sz w:val="28"/>
        </w:rPr>
        <w:t xml:space="preserve"> </w:t>
      </w:r>
      <w:r>
        <w:rPr>
          <w:rFonts w:ascii="Times New Roman" w:hAnsi="Times New Roman"/>
          <w:sz w:val="28"/>
        </w:rPr>
        <w:t xml:space="preserve">Формирование выборки </w:t>
      </w:r>
      <w:r w:rsidRPr="00AC7976">
        <w:rPr>
          <w:rFonts w:ascii="Times New Roman" w:hAnsi="Times New Roman"/>
          <w:sz w:val="28"/>
        </w:rPr>
        <w:t>компаний–банкротов</w:t>
      </w:r>
      <w:r w:rsidR="008A500E" w:rsidRPr="008A500E">
        <w:rPr>
          <w:rFonts w:ascii="Times New Roman" w:hAnsi="Times New Roman"/>
          <w:sz w:val="28"/>
        </w:rPr>
        <w:t xml:space="preserve"> </w:t>
      </w:r>
      <w:r w:rsidRPr="00AC7976">
        <w:rPr>
          <w:rFonts w:ascii="Times New Roman" w:hAnsi="Times New Roman"/>
          <w:sz w:val="28"/>
        </w:rPr>
        <w:t xml:space="preserve"> </w:t>
      </w:r>
      <w:r w:rsidRPr="00E06EB0">
        <w:rPr>
          <w:rFonts w:ascii="Times New Roman" w:hAnsi="Times New Roman"/>
          <w:sz w:val="28"/>
        </w:rPr>
        <w:t xml:space="preserve">и </w:t>
      </w:r>
      <w:r w:rsidR="008A500E" w:rsidRPr="008A500E">
        <w:rPr>
          <w:rFonts w:ascii="Times New Roman" w:hAnsi="Times New Roman"/>
          <w:sz w:val="28"/>
        </w:rPr>
        <w:t xml:space="preserve"> </w:t>
      </w:r>
      <w:r w:rsidRPr="00E06EB0">
        <w:rPr>
          <w:rFonts w:ascii="Times New Roman" w:hAnsi="Times New Roman"/>
          <w:sz w:val="28"/>
        </w:rPr>
        <w:t>действующих предприятий;</w:t>
      </w:r>
    </w:p>
    <w:p w:rsidR="00D94969" w:rsidRPr="00E06EB0" w:rsidRDefault="00D94969" w:rsidP="00AC7976">
      <w:pPr>
        <w:pStyle w:val="a4"/>
        <w:spacing w:line="360" w:lineRule="auto"/>
        <w:ind w:left="1134" w:hanging="425"/>
        <w:jc w:val="both"/>
        <w:rPr>
          <w:rFonts w:ascii="Times New Roman" w:hAnsi="Times New Roman"/>
          <w:sz w:val="28"/>
        </w:rPr>
      </w:pPr>
      <w:r>
        <w:rPr>
          <w:rFonts w:ascii="Times New Roman" w:hAnsi="Times New Roman"/>
          <w:sz w:val="28"/>
        </w:rPr>
        <w:t xml:space="preserve">2.  </w:t>
      </w:r>
      <w:r w:rsidRPr="00E06EB0">
        <w:rPr>
          <w:rFonts w:ascii="Times New Roman" w:hAnsi="Times New Roman"/>
          <w:sz w:val="28"/>
        </w:rPr>
        <w:t xml:space="preserve">Сбор информации по каждой фирме, с помощью которой возможно </w:t>
      </w:r>
      <w:r w:rsidR="008A500E" w:rsidRPr="008A500E">
        <w:rPr>
          <w:rFonts w:ascii="Times New Roman" w:hAnsi="Times New Roman"/>
          <w:sz w:val="28"/>
        </w:rPr>
        <w:t xml:space="preserve">     </w:t>
      </w:r>
      <w:r w:rsidRPr="00E06EB0">
        <w:rPr>
          <w:rFonts w:ascii="Times New Roman" w:hAnsi="Times New Roman"/>
          <w:sz w:val="28"/>
        </w:rPr>
        <w:t>предсказывать ее банкротство;</w:t>
      </w:r>
    </w:p>
    <w:p w:rsidR="00D94969" w:rsidRPr="00E06EB0" w:rsidRDefault="008A500E" w:rsidP="00CD2BB6">
      <w:pPr>
        <w:pStyle w:val="a4"/>
        <w:spacing w:line="360" w:lineRule="auto"/>
        <w:ind w:firstLine="709"/>
        <w:jc w:val="both"/>
        <w:rPr>
          <w:rFonts w:ascii="Times New Roman" w:hAnsi="Times New Roman"/>
          <w:sz w:val="28"/>
        </w:rPr>
      </w:pPr>
      <w:r>
        <w:rPr>
          <w:rFonts w:ascii="Times New Roman" w:hAnsi="Times New Roman"/>
          <w:sz w:val="28"/>
        </w:rPr>
        <w:t xml:space="preserve">3.   </w:t>
      </w:r>
      <w:r w:rsidR="00D94969" w:rsidRPr="00E06EB0">
        <w:rPr>
          <w:rFonts w:ascii="Times New Roman" w:hAnsi="Times New Roman"/>
          <w:sz w:val="28"/>
        </w:rPr>
        <w:t>Оценка коэффициентов модели на основе собранной информации.</w:t>
      </w:r>
    </w:p>
    <w:p w:rsidR="00D94969" w:rsidRPr="009028AC" w:rsidRDefault="00D94969" w:rsidP="00CD2BB6">
      <w:pPr>
        <w:pStyle w:val="a4"/>
        <w:spacing w:line="360" w:lineRule="auto"/>
        <w:ind w:firstLine="709"/>
        <w:jc w:val="both"/>
        <w:rPr>
          <w:rFonts w:ascii="Times New Roman" w:hAnsi="Times New Roman"/>
          <w:sz w:val="28"/>
        </w:rPr>
      </w:pPr>
      <w:r w:rsidRPr="00936D79">
        <w:rPr>
          <w:rFonts w:ascii="Times New Roman" w:hAnsi="Times New Roman"/>
          <w:sz w:val="28"/>
        </w:rPr>
        <w:lastRenderedPageBreak/>
        <w:t xml:space="preserve">В данном исследовании в выборочную совокупность попали 80 компаний пищевой промышленности, которые оказались в состоянии дефолта в </w:t>
      </w:r>
      <w:smartTag w:uri="urn:schemas-microsoft-com:office:smarttags" w:element="metricconverter">
        <w:smartTagPr>
          <w:attr w:name="ProductID" w:val="2012 г"/>
        </w:smartTagPr>
        <w:r w:rsidRPr="00936D79">
          <w:rPr>
            <w:rFonts w:ascii="Times New Roman" w:hAnsi="Times New Roman"/>
            <w:sz w:val="28"/>
          </w:rPr>
          <w:t>2012 г</w:t>
        </w:r>
      </w:smartTag>
      <w:r w:rsidRPr="00936D79">
        <w:rPr>
          <w:rFonts w:ascii="Times New Roman" w:hAnsi="Times New Roman"/>
          <w:sz w:val="28"/>
        </w:rPr>
        <w:t>. и у которых была доступна бухгалтерская отчетность за год до банкротства. За дату дефолта в данной работе принималась дата введения наблюдения как начальный этап процедуры банкротства. Если предприятие позже признавалось банкротом по решению суда, то оно попадало в выборку, в противном случае – нет. К каждой обанкротившейся фирме были подобраны 2 аналоговые компании, которые функционировали в той же отрасли и которые были схожи по размеру активов.</w:t>
      </w:r>
    </w:p>
    <w:p w:rsidR="00D94969" w:rsidRPr="00E06EB0" w:rsidRDefault="00D94969" w:rsidP="00CD2BB6">
      <w:pPr>
        <w:pStyle w:val="a4"/>
        <w:spacing w:line="360" w:lineRule="auto"/>
        <w:ind w:firstLine="709"/>
        <w:jc w:val="both"/>
        <w:rPr>
          <w:rFonts w:ascii="Times New Roman" w:hAnsi="Times New Roman"/>
          <w:sz w:val="28"/>
        </w:rPr>
      </w:pPr>
      <w:r w:rsidRPr="00E06EB0">
        <w:rPr>
          <w:rFonts w:ascii="Times New Roman" w:hAnsi="Times New Roman"/>
          <w:sz w:val="28"/>
        </w:rPr>
        <w:t>В итоге, для каждой компании были собраны данные годовой бухгалтерской отчетности, построенной согласно принципам Российских стандартов бухгалтерского учета, за один год до банкротства. Данный временной горизонт был выбран на основе предыдущих исследований, согласно которым предсказательная сила моделей оценки вероятности банкротства убывает, если берется более ранняя информация по финансовому состоянию компании [</w:t>
      </w:r>
      <w:proofErr w:type="spellStart"/>
      <w:r w:rsidRPr="00E06EB0">
        <w:rPr>
          <w:rFonts w:ascii="Times New Roman" w:hAnsi="Times New Roman"/>
          <w:sz w:val="28"/>
        </w:rPr>
        <w:t>Тотьмянина</w:t>
      </w:r>
      <w:proofErr w:type="spellEnd"/>
      <w:r w:rsidRPr="00E06EB0">
        <w:rPr>
          <w:rFonts w:ascii="Times New Roman" w:hAnsi="Times New Roman"/>
          <w:sz w:val="28"/>
        </w:rPr>
        <w:t>, 2011</w:t>
      </w:r>
      <w:r w:rsidRPr="00F80621">
        <w:rPr>
          <w:rFonts w:ascii="Times New Roman" w:hAnsi="Times New Roman"/>
          <w:sz w:val="28"/>
        </w:rPr>
        <w:t xml:space="preserve">, с. </w:t>
      </w:r>
      <w:r>
        <w:rPr>
          <w:rFonts w:ascii="Times New Roman" w:hAnsi="Times New Roman"/>
          <w:sz w:val="28"/>
        </w:rPr>
        <w:t>2</w:t>
      </w:r>
      <w:r w:rsidRPr="00E06EB0">
        <w:rPr>
          <w:rFonts w:ascii="Times New Roman" w:hAnsi="Times New Roman"/>
          <w:sz w:val="28"/>
        </w:rPr>
        <w:t>]. Информация по предприятиям была собрана из информационно-аналитической системы «</w:t>
      </w:r>
      <w:r w:rsidRPr="00E06EB0">
        <w:rPr>
          <w:rFonts w:ascii="Times New Roman" w:hAnsi="Times New Roman"/>
          <w:sz w:val="28"/>
          <w:lang w:val="en-US"/>
        </w:rPr>
        <w:t>FIRA</w:t>
      </w:r>
      <w:r w:rsidRPr="00E06EB0">
        <w:rPr>
          <w:rFonts w:ascii="Times New Roman" w:hAnsi="Times New Roman"/>
          <w:sz w:val="28"/>
        </w:rPr>
        <w:t xml:space="preserve"> </w:t>
      </w:r>
      <w:r w:rsidRPr="00E06EB0">
        <w:rPr>
          <w:rFonts w:ascii="Times New Roman" w:hAnsi="Times New Roman"/>
          <w:sz w:val="28"/>
          <w:lang w:val="en-US"/>
        </w:rPr>
        <w:t>PRO</w:t>
      </w:r>
      <w:r w:rsidRPr="00E06EB0">
        <w:rPr>
          <w:rFonts w:ascii="Times New Roman" w:hAnsi="Times New Roman"/>
          <w:sz w:val="28"/>
        </w:rPr>
        <w:t>».</w:t>
      </w:r>
    </w:p>
    <w:p w:rsidR="00D94969" w:rsidRPr="00E06EB0" w:rsidRDefault="00D94969" w:rsidP="00CD2BB6">
      <w:pPr>
        <w:pStyle w:val="a4"/>
        <w:spacing w:line="360" w:lineRule="auto"/>
        <w:ind w:firstLine="709"/>
        <w:jc w:val="both"/>
        <w:rPr>
          <w:rFonts w:ascii="Times New Roman" w:hAnsi="Times New Roman"/>
          <w:sz w:val="28"/>
        </w:rPr>
      </w:pPr>
      <w:r w:rsidRPr="00E06EB0">
        <w:rPr>
          <w:rFonts w:ascii="Times New Roman" w:hAnsi="Times New Roman"/>
          <w:sz w:val="28"/>
        </w:rPr>
        <w:t>На основе собранной бухгалтерск</w:t>
      </w:r>
      <w:r>
        <w:rPr>
          <w:rFonts w:ascii="Times New Roman" w:hAnsi="Times New Roman"/>
          <w:sz w:val="28"/>
        </w:rPr>
        <w:t>ой отчетности были рассчитаны 2</w:t>
      </w:r>
      <w:r w:rsidRPr="00936D79">
        <w:rPr>
          <w:rFonts w:ascii="Times New Roman" w:hAnsi="Times New Roman"/>
          <w:sz w:val="28"/>
        </w:rPr>
        <w:t>6</w:t>
      </w:r>
      <w:r w:rsidRPr="00E06EB0">
        <w:rPr>
          <w:rFonts w:ascii="Times New Roman" w:hAnsi="Times New Roman"/>
          <w:sz w:val="28"/>
        </w:rPr>
        <w:t xml:space="preserve"> финансовых коэффициентов, которые можно классифицировать следующим образом:</w:t>
      </w:r>
    </w:p>
    <w:p w:rsidR="00D94969" w:rsidRPr="00E06EB0" w:rsidRDefault="00D94969" w:rsidP="0091208F">
      <w:pPr>
        <w:pStyle w:val="a4"/>
        <w:numPr>
          <w:ilvl w:val="0"/>
          <w:numId w:val="1"/>
        </w:numPr>
        <w:spacing w:line="360" w:lineRule="auto"/>
        <w:ind w:left="1134" w:hanging="425"/>
        <w:jc w:val="both"/>
        <w:rPr>
          <w:rFonts w:ascii="Times New Roman" w:hAnsi="Times New Roman"/>
          <w:sz w:val="28"/>
        </w:rPr>
      </w:pPr>
      <w:r w:rsidRPr="00E06EB0">
        <w:rPr>
          <w:rFonts w:ascii="Times New Roman" w:hAnsi="Times New Roman"/>
          <w:sz w:val="28"/>
        </w:rPr>
        <w:t>Показатели ликвидности;</w:t>
      </w:r>
    </w:p>
    <w:p w:rsidR="00D94969" w:rsidRPr="00E06EB0" w:rsidRDefault="00D94969" w:rsidP="0091208F">
      <w:pPr>
        <w:pStyle w:val="a4"/>
        <w:numPr>
          <w:ilvl w:val="0"/>
          <w:numId w:val="1"/>
        </w:numPr>
        <w:spacing w:line="360" w:lineRule="auto"/>
        <w:ind w:left="1134" w:hanging="425"/>
        <w:jc w:val="both"/>
        <w:rPr>
          <w:rFonts w:ascii="Times New Roman" w:hAnsi="Times New Roman"/>
          <w:sz w:val="28"/>
        </w:rPr>
      </w:pPr>
      <w:r w:rsidRPr="00E06EB0">
        <w:rPr>
          <w:rFonts w:ascii="Times New Roman" w:hAnsi="Times New Roman"/>
          <w:sz w:val="28"/>
        </w:rPr>
        <w:t>Показатели долгосрочной финансовой устойчивости;</w:t>
      </w:r>
    </w:p>
    <w:p w:rsidR="00D94969" w:rsidRPr="00E06EB0" w:rsidRDefault="00D94969" w:rsidP="0091208F">
      <w:pPr>
        <w:pStyle w:val="a4"/>
        <w:numPr>
          <w:ilvl w:val="0"/>
          <w:numId w:val="1"/>
        </w:numPr>
        <w:spacing w:line="360" w:lineRule="auto"/>
        <w:ind w:left="1134" w:hanging="425"/>
        <w:jc w:val="both"/>
        <w:rPr>
          <w:rFonts w:ascii="Times New Roman" w:hAnsi="Times New Roman"/>
          <w:sz w:val="28"/>
        </w:rPr>
      </w:pPr>
      <w:r w:rsidRPr="00E06EB0">
        <w:rPr>
          <w:rFonts w:ascii="Times New Roman" w:hAnsi="Times New Roman"/>
          <w:sz w:val="28"/>
        </w:rPr>
        <w:t>Показатели текущей финансовой устойчивости;</w:t>
      </w:r>
    </w:p>
    <w:p w:rsidR="00D94969" w:rsidRPr="00E06EB0" w:rsidRDefault="00D94969" w:rsidP="0091208F">
      <w:pPr>
        <w:pStyle w:val="a4"/>
        <w:numPr>
          <w:ilvl w:val="0"/>
          <w:numId w:val="1"/>
        </w:numPr>
        <w:spacing w:line="360" w:lineRule="auto"/>
        <w:ind w:left="1134" w:hanging="425"/>
        <w:jc w:val="both"/>
        <w:rPr>
          <w:rFonts w:ascii="Times New Roman" w:hAnsi="Times New Roman"/>
          <w:sz w:val="28"/>
        </w:rPr>
      </w:pPr>
      <w:r w:rsidRPr="00E06EB0">
        <w:rPr>
          <w:rFonts w:ascii="Times New Roman" w:hAnsi="Times New Roman"/>
          <w:sz w:val="28"/>
        </w:rPr>
        <w:t>Показатели рентабельности;</w:t>
      </w:r>
    </w:p>
    <w:p w:rsidR="00D94969" w:rsidRPr="00E06EB0" w:rsidRDefault="00D94969" w:rsidP="0091208F">
      <w:pPr>
        <w:pStyle w:val="a4"/>
        <w:numPr>
          <w:ilvl w:val="0"/>
          <w:numId w:val="1"/>
        </w:numPr>
        <w:spacing w:line="360" w:lineRule="auto"/>
        <w:ind w:left="1134" w:hanging="425"/>
        <w:jc w:val="both"/>
        <w:rPr>
          <w:rFonts w:ascii="Times New Roman" w:hAnsi="Times New Roman"/>
          <w:sz w:val="28"/>
        </w:rPr>
      </w:pPr>
      <w:r w:rsidRPr="00E06EB0">
        <w:rPr>
          <w:rFonts w:ascii="Times New Roman" w:hAnsi="Times New Roman"/>
          <w:sz w:val="28"/>
        </w:rPr>
        <w:t>Показатели деловой активности.</w:t>
      </w:r>
    </w:p>
    <w:p w:rsidR="00D94969" w:rsidRPr="00E06EB0" w:rsidRDefault="00D94969" w:rsidP="00CD2BB6">
      <w:pPr>
        <w:pStyle w:val="a4"/>
        <w:spacing w:line="360" w:lineRule="auto"/>
        <w:ind w:firstLine="709"/>
        <w:jc w:val="both"/>
        <w:rPr>
          <w:rFonts w:ascii="Times New Roman" w:hAnsi="Times New Roman"/>
          <w:sz w:val="28"/>
        </w:rPr>
      </w:pPr>
      <w:r w:rsidRPr="00E06EB0">
        <w:rPr>
          <w:rFonts w:ascii="Times New Roman" w:hAnsi="Times New Roman"/>
          <w:sz w:val="28"/>
        </w:rPr>
        <w:t>Тем не менее, не все показатели обладают достаточной предсказательной способностью, поэтому необходимо выделить из всех финансовых коэффициентов те, которые наиболее значимы с точки зрения их дискриминирующей способности, то есть способности отделять компаний-банкротов от действующих предприятий.</w:t>
      </w:r>
    </w:p>
    <w:p w:rsidR="00D94969" w:rsidRPr="000944B2" w:rsidRDefault="00D94969" w:rsidP="00CD2BB6">
      <w:pPr>
        <w:pStyle w:val="a4"/>
        <w:spacing w:line="360" w:lineRule="auto"/>
        <w:ind w:firstLine="709"/>
        <w:jc w:val="both"/>
        <w:rPr>
          <w:rFonts w:ascii="Times New Roman" w:hAnsi="Times New Roman"/>
          <w:sz w:val="12"/>
          <w:szCs w:val="12"/>
        </w:rPr>
      </w:pPr>
      <w:r w:rsidRPr="00E06EB0">
        <w:rPr>
          <w:rFonts w:ascii="Times New Roman" w:hAnsi="Times New Roman"/>
          <w:sz w:val="28"/>
        </w:rPr>
        <w:lastRenderedPageBreak/>
        <w:t xml:space="preserve">Основным критерием отбора показателей являлась площадь криволинейной трапеции под </w:t>
      </w:r>
      <w:r w:rsidRPr="00F80621">
        <w:rPr>
          <w:rFonts w:ascii="Times New Roman" w:hAnsi="Times New Roman"/>
          <w:sz w:val="28"/>
          <w:szCs w:val="28"/>
          <w:lang w:val="en-US"/>
        </w:rPr>
        <w:t>ROC</w:t>
      </w:r>
      <w:r w:rsidRPr="00F80621">
        <w:rPr>
          <w:rFonts w:ascii="Times New Roman" w:eastAsia="MinionPro-It" w:hAnsi="Times New Roman"/>
          <w:sz w:val="28"/>
          <w:szCs w:val="28"/>
        </w:rPr>
        <w:t>–</w:t>
      </w:r>
      <w:r w:rsidRPr="00F80621">
        <w:rPr>
          <w:rFonts w:ascii="Times New Roman" w:hAnsi="Times New Roman"/>
          <w:sz w:val="28"/>
          <w:szCs w:val="28"/>
        </w:rPr>
        <w:t>кривой</w:t>
      </w:r>
      <w:r>
        <w:rPr>
          <w:rFonts w:ascii="Times New Roman" w:hAnsi="Times New Roman"/>
          <w:sz w:val="28"/>
        </w:rPr>
        <w:t xml:space="preserve"> [</w:t>
      </w:r>
      <w:proofErr w:type="spellStart"/>
      <w:r>
        <w:rPr>
          <w:rFonts w:ascii="Times New Roman" w:hAnsi="Times New Roman"/>
          <w:sz w:val="28"/>
          <w:lang w:val="en-US"/>
        </w:rPr>
        <w:t>Ivliev</w:t>
      </w:r>
      <w:proofErr w:type="spellEnd"/>
      <w:r>
        <w:rPr>
          <w:rFonts w:ascii="Times New Roman" w:hAnsi="Times New Roman"/>
          <w:sz w:val="28"/>
        </w:rPr>
        <w:t>, 20</w:t>
      </w:r>
      <w:r w:rsidRPr="00F80621">
        <w:rPr>
          <w:rFonts w:ascii="Times New Roman" w:hAnsi="Times New Roman"/>
          <w:sz w:val="28"/>
        </w:rPr>
        <w:t xml:space="preserve">11, </w:t>
      </w:r>
      <w:r>
        <w:rPr>
          <w:rFonts w:ascii="Times New Roman" w:hAnsi="Times New Roman"/>
          <w:sz w:val="28"/>
          <w:lang w:val="en-US"/>
        </w:rPr>
        <w:t>p</w:t>
      </w:r>
      <w:r w:rsidRPr="00F80621">
        <w:rPr>
          <w:rFonts w:ascii="Times New Roman" w:hAnsi="Times New Roman"/>
          <w:sz w:val="28"/>
        </w:rPr>
        <w:t xml:space="preserve">. </w:t>
      </w:r>
      <w:r w:rsidRPr="00F80621">
        <w:rPr>
          <w:rFonts w:ascii="Times New Roman" w:hAnsi="Times New Roman"/>
          <w:sz w:val="28"/>
          <w:szCs w:val="28"/>
        </w:rPr>
        <w:t>2</w:t>
      </w:r>
      <w:r w:rsidRPr="00F80621">
        <w:rPr>
          <w:rFonts w:ascii="Times New Roman" w:eastAsia="MinionPro-It" w:hAnsi="Times New Roman"/>
          <w:sz w:val="28"/>
          <w:szCs w:val="28"/>
        </w:rPr>
        <w:t>–3</w:t>
      </w:r>
      <w:r w:rsidRPr="00A15438">
        <w:rPr>
          <w:rFonts w:ascii="Times New Roman" w:hAnsi="Times New Roman"/>
          <w:sz w:val="28"/>
        </w:rPr>
        <w:t>]</w:t>
      </w:r>
      <w:r w:rsidRPr="00E06EB0">
        <w:rPr>
          <w:rFonts w:ascii="Times New Roman" w:hAnsi="Times New Roman"/>
          <w:sz w:val="28"/>
        </w:rPr>
        <w:t>, которая показывает, как отдельный финансовый коэффициент</w:t>
      </w:r>
      <w:r>
        <w:rPr>
          <w:rFonts w:ascii="Times New Roman" w:hAnsi="Times New Roman"/>
          <w:sz w:val="28"/>
        </w:rPr>
        <w:t xml:space="preserve"> может правильно</w:t>
      </w:r>
      <w:r w:rsidRPr="000117E2">
        <w:rPr>
          <w:rFonts w:ascii="Times New Roman" w:hAnsi="Times New Roman"/>
          <w:sz w:val="28"/>
        </w:rPr>
        <w:t xml:space="preserve"> </w:t>
      </w:r>
      <w:r w:rsidRPr="00E06EB0">
        <w:rPr>
          <w:rFonts w:ascii="Times New Roman" w:hAnsi="Times New Roman"/>
          <w:sz w:val="28"/>
        </w:rPr>
        <w:t>классифицировать предприятия при варьировании порога отсечения (табл. 1).</w:t>
      </w:r>
    </w:p>
    <w:p w:rsidR="00D94969" w:rsidRPr="00E06EB0" w:rsidRDefault="00D94969" w:rsidP="0091208F">
      <w:pPr>
        <w:pStyle w:val="a4"/>
        <w:spacing w:before="120"/>
        <w:jc w:val="right"/>
        <w:rPr>
          <w:rFonts w:ascii="Times New Roman" w:hAnsi="Times New Roman"/>
          <w:sz w:val="28"/>
        </w:rPr>
      </w:pPr>
      <w:r w:rsidRPr="00E06EB0">
        <w:rPr>
          <w:rFonts w:ascii="Times New Roman" w:hAnsi="Times New Roman"/>
          <w:sz w:val="28"/>
        </w:rPr>
        <w:t>Таблица 1</w:t>
      </w:r>
    </w:p>
    <w:p w:rsidR="00D94969" w:rsidRPr="000944B2" w:rsidRDefault="00D94969" w:rsidP="0091208F">
      <w:pPr>
        <w:pStyle w:val="a4"/>
        <w:spacing w:after="120"/>
        <w:jc w:val="center"/>
        <w:rPr>
          <w:rFonts w:ascii="Times New Roman" w:hAnsi="Times New Roman"/>
          <w:b/>
          <w:sz w:val="28"/>
        </w:rPr>
      </w:pPr>
      <w:r w:rsidRPr="00E06EB0">
        <w:rPr>
          <w:rFonts w:ascii="Times New Roman" w:hAnsi="Times New Roman"/>
          <w:b/>
          <w:sz w:val="28"/>
        </w:rPr>
        <w:t xml:space="preserve">Площадь криволинейной трапеции под </w:t>
      </w:r>
      <w:r w:rsidRPr="00F80621">
        <w:rPr>
          <w:rFonts w:ascii="Times New Roman" w:hAnsi="Times New Roman"/>
          <w:b/>
          <w:sz w:val="28"/>
          <w:szCs w:val="28"/>
          <w:lang w:val="en-US"/>
        </w:rPr>
        <w:t>ROC</w:t>
      </w:r>
      <w:r w:rsidRPr="00F80621">
        <w:rPr>
          <w:rFonts w:ascii="Times New Roman" w:eastAsia="MinionPro-It" w:hAnsi="Times New Roman"/>
          <w:sz w:val="28"/>
          <w:szCs w:val="28"/>
        </w:rPr>
        <w:t>–</w:t>
      </w:r>
      <w:r w:rsidRPr="00F80621">
        <w:rPr>
          <w:rFonts w:ascii="Times New Roman" w:hAnsi="Times New Roman"/>
          <w:b/>
          <w:sz w:val="28"/>
          <w:szCs w:val="28"/>
        </w:rPr>
        <w:t>кривой</w:t>
      </w:r>
      <w:r w:rsidRPr="00E06EB0">
        <w:rPr>
          <w:rFonts w:ascii="Times New Roman" w:hAnsi="Times New Roman"/>
          <w:b/>
          <w:sz w:val="28"/>
        </w:rPr>
        <w:t xml:space="preserve"> у наиболее значимых показателей </w:t>
      </w:r>
    </w:p>
    <w:p w:rsidR="00D94969" w:rsidRPr="000944B2" w:rsidRDefault="00D94969" w:rsidP="00CD2BB6">
      <w:pPr>
        <w:pStyle w:val="a4"/>
        <w:jc w:val="center"/>
        <w:rPr>
          <w:rFonts w:ascii="Times New Roman" w:hAnsi="Times New Roman"/>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868"/>
      </w:tblGrid>
      <w:tr w:rsidR="00D94969" w:rsidRPr="005D6559" w:rsidTr="0091208F">
        <w:tc>
          <w:tcPr>
            <w:tcW w:w="6771" w:type="dxa"/>
          </w:tcPr>
          <w:p w:rsidR="00D94969" w:rsidRPr="00FA51DA" w:rsidRDefault="00D94969" w:rsidP="00574718">
            <w:pPr>
              <w:pStyle w:val="a4"/>
              <w:jc w:val="both"/>
              <w:rPr>
                <w:rFonts w:ascii="Times New Roman" w:hAnsi="Times New Roman"/>
              </w:rPr>
            </w:pPr>
            <w:r w:rsidRPr="00FA51DA">
              <w:rPr>
                <w:rFonts w:ascii="Times New Roman" w:hAnsi="Times New Roman"/>
              </w:rPr>
              <w:t>Показатель</w:t>
            </w:r>
          </w:p>
        </w:tc>
        <w:tc>
          <w:tcPr>
            <w:tcW w:w="2868" w:type="dxa"/>
          </w:tcPr>
          <w:p w:rsidR="00D94969" w:rsidRPr="00FA51DA" w:rsidRDefault="00D94969" w:rsidP="00574718">
            <w:pPr>
              <w:pStyle w:val="a4"/>
              <w:jc w:val="both"/>
              <w:rPr>
                <w:rFonts w:ascii="Times New Roman" w:hAnsi="Times New Roman"/>
              </w:rPr>
            </w:pPr>
            <w:r w:rsidRPr="00FA51DA">
              <w:rPr>
                <w:rFonts w:ascii="Times New Roman" w:hAnsi="Times New Roman"/>
              </w:rPr>
              <w:t xml:space="preserve">Площадь под </w:t>
            </w:r>
            <w:r w:rsidRPr="00FA51DA">
              <w:rPr>
                <w:rFonts w:ascii="Times New Roman" w:hAnsi="Times New Roman"/>
                <w:lang w:val="en-US"/>
              </w:rPr>
              <w:t>ROC</w:t>
            </w:r>
            <w:r w:rsidRPr="00FA51DA">
              <w:rPr>
                <w:rFonts w:ascii="Times New Roman" w:eastAsia="MinionPro-It" w:hAnsi="Times New Roman"/>
                <w:lang w:val="en-US"/>
              </w:rPr>
              <w:t>–</w:t>
            </w:r>
            <w:r w:rsidRPr="00FA51DA">
              <w:rPr>
                <w:rFonts w:ascii="Times New Roman" w:hAnsi="Times New Roman"/>
              </w:rPr>
              <w:t>кривой</w:t>
            </w:r>
          </w:p>
        </w:tc>
      </w:tr>
      <w:tr w:rsidR="00D94969" w:rsidRPr="005D6559" w:rsidTr="0091208F">
        <w:tc>
          <w:tcPr>
            <w:tcW w:w="6771" w:type="dxa"/>
          </w:tcPr>
          <w:p w:rsidR="00D94969" w:rsidRPr="00FA51DA" w:rsidRDefault="00D94969" w:rsidP="00574718">
            <w:pPr>
              <w:pStyle w:val="a4"/>
              <w:jc w:val="both"/>
              <w:rPr>
                <w:rFonts w:ascii="Times New Roman" w:hAnsi="Times New Roman"/>
              </w:rPr>
            </w:pPr>
            <w:r w:rsidRPr="00FA51DA">
              <w:rPr>
                <w:rFonts w:ascii="Times New Roman" w:hAnsi="Times New Roman"/>
              </w:rPr>
              <w:t>Рентабельность активов (проц.) (1)</w:t>
            </w:r>
          </w:p>
        </w:tc>
        <w:tc>
          <w:tcPr>
            <w:tcW w:w="2868" w:type="dxa"/>
          </w:tcPr>
          <w:p w:rsidR="00D94969" w:rsidRPr="00FA51DA" w:rsidRDefault="00D94969" w:rsidP="00574718">
            <w:pPr>
              <w:jc w:val="both"/>
              <w:rPr>
                <w:color w:val="000000"/>
                <w:sz w:val="24"/>
                <w:szCs w:val="24"/>
                <w:lang w:val="en-US"/>
              </w:rPr>
            </w:pPr>
            <w:r w:rsidRPr="00FA51DA">
              <w:rPr>
                <w:color w:val="000000"/>
                <w:sz w:val="24"/>
                <w:szCs w:val="24"/>
              </w:rPr>
              <w:t>0,8084</w:t>
            </w:r>
          </w:p>
        </w:tc>
      </w:tr>
      <w:tr w:rsidR="00D94969" w:rsidRPr="005D6559" w:rsidTr="0091208F">
        <w:tc>
          <w:tcPr>
            <w:tcW w:w="6771" w:type="dxa"/>
          </w:tcPr>
          <w:p w:rsidR="00D94969" w:rsidRPr="00FA51DA" w:rsidRDefault="00D94969" w:rsidP="00574718">
            <w:pPr>
              <w:pStyle w:val="a4"/>
              <w:jc w:val="both"/>
              <w:rPr>
                <w:rFonts w:ascii="Times New Roman" w:hAnsi="Times New Roman"/>
              </w:rPr>
            </w:pPr>
            <w:r w:rsidRPr="00FA51DA">
              <w:rPr>
                <w:rFonts w:ascii="Times New Roman" w:hAnsi="Times New Roman"/>
              </w:rPr>
              <w:t>Рентабельность прибыли от обычной деятельности (проц.) (2)</w:t>
            </w:r>
          </w:p>
        </w:tc>
        <w:tc>
          <w:tcPr>
            <w:tcW w:w="2868" w:type="dxa"/>
          </w:tcPr>
          <w:p w:rsidR="00D94969" w:rsidRPr="00FA51DA" w:rsidRDefault="00D94969" w:rsidP="00574718">
            <w:pPr>
              <w:jc w:val="both"/>
              <w:rPr>
                <w:color w:val="000000"/>
                <w:sz w:val="24"/>
                <w:szCs w:val="24"/>
                <w:lang w:val="en-US"/>
              </w:rPr>
            </w:pPr>
            <w:r w:rsidRPr="00FA51DA">
              <w:rPr>
                <w:color w:val="000000"/>
                <w:sz w:val="24"/>
                <w:szCs w:val="24"/>
              </w:rPr>
              <w:t>0,7777</w:t>
            </w:r>
          </w:p>
        </w:tc>
      </w:tr>
      <w:tr w:rsidR="00D94969" w:rsidRPr="005D6559" w:rsidTr="0091208F">
        <w:tc>
          <w:tcPr>
            <w:tcW w:w="6771" w:type="dxa"/>
          </w:tcPr>
          <w:p w:rsidR="00D94969" w:rsidRPr="00FA51DA" w:rsidRDefault="00D94969" w:rsidP="00574718">
            <w:pPr>
              <w:pStyle w:val="a4"/>
              <w:jc w:val="both"/>
              <w:rPr>
                <w:rFonts w:ascii="Times New Roman" w:hAnsi="Times New Roman"/>
              </w:rPr>
            </w:pPr>
            <w:r w:rsidRPr="00FA51DA">
              <w:rPr>
                <w:rFonts w:ascii="Times New Roman" w:hAnsi="Times New Roman"/>
              </w:rPr>
              <w:t>Рентабельность прибыли до налогообложения (проц.) (3)</w:t>
            </w:r>
          </w:p>
        </w:tc>
        <w:tc>
          <w:tcPr>
            <w:tcW w:w="2868" w:type="dxa"/>
          </w:tcPr>
          <w:p w:rsidR="00D94969" w:rsidRPr="00FA51DA" w:rsidRDefault="00D94969" w:rsidP="00574718">
            <w:pPr>
              <w:jc w:val="both"/>
              <w:rPr>
                <w:color w:val="000000"/>
                <w:sz w:val="24"/>
                <w:szCs w:val="24"/>
                <w:lang w:val="en-US"/>
              </w:rPr>
            </w:pPr>
            <w:r w:rsidRPr="00FA51DA">
              <w:rPr>
                <w:color w:val="000000"/>
                <w:sz w:val="24"/>
                <w:szCs w:val="24"/>
              </w:rPr>
              <w:t>0,7743</w:t>
            </w:r>
          </w:p>
        </w:tc>
      </w:tr>
      <w:tr w:rsidR="00D94969" w:rsidRPr="005D6559" w:rsidTr="0091208F">
        <w:tc>
          <w:tcPr>
            <w:tcW w:w="6771" w:type="dxa"/>
          </w:tcPr>
          <w:p w:rsidR="00D94969" w:rsidRPr="00FA51DA" w:rsidRDefault="00D94969" w:rsidP="00574718">
            <w:pPr>
              <w:pStyle w:val="a4"/>
              <w:jc w:val="both"/>
              <w:rPr>
                <w:rFonts w:ascii="Times New Roman" w:hAnsi="Times New Roman"/>
              </w:rPr>
            </w:pPr>
            <w:r w:rsidRPr="00FA51DA">
              <w:rPr>
                <w:rFonts w:ascii="Times New Roman" w:hAnsi="Times New Roman"/>
              </w:rPr>
              <w:t>Доля нераспределенной прибыли (убытка) в активах (проц.) (4)</w:t>
            </w:r>
          </w:p>
        </w:tc>
        <w:tc>
          <w:tcPr>
            <w:tcW w:w="2868" w:type="dxa"/>
          </w:tcPr>
          <w:p w:rsidR="00D94969" w:rsidRPr="00FA51DA" w:rsidRDefault="00D94969" w:rsidP="00574718">
            <w:pPr>
              <w:jc w:val="both"/>
              <w:rPr>
                <w:color w:val="000000"/>
                <w:sz w:val="24"/>
                <w:szCs w:val="24"/>
                <w:lang w:val="en-US"/>
              </w:rPr>
            </w:pPr>
            <w:r w:rsidRPr="00FA51DA">
              <w:rPr>
                <w:color w:val="000000"/>
                <w:sz w:val="24"/>
                <w:szCs w:val="24"/>
              </w:rPr>
              <w:t>0,7701</w:t>
            </w:r>
          </w:p>
        </w:tc>
      </w:tr>
      <w:tr w:rsidR="00D94969" w:rsidRPr="005D6559" w:rsidTr="0091208F">
        <w:tc>
          <w:tcPr>
            <w:tcW w:w="6771" w:type="dxa"/>
          </w:tcPr>
          <w:p w:rsidR="00D94969" w:rsidRPr="00FA51DA" w:rsidRDefault="00D94969" w:rsidP="00574718">
            <w:pPr>
              <w:pStyle w:val="a4"/>
              <w:jc w:val="both"/>
              <w:rPr>
                <w:rFonts w:ascii="Times New Roman" w:hAnsi="Times New Roman"/>
              </w:rPr>
            </w:pPr>
            <w:proofErr w:type="spellStart"/>
            <w:r w:rsidRPr="00FA51DA">
              <w:rPr>
                <w:rFonts w:ascii="Times New Roman" w:hAnsi="Times New Roman"/>
                <w:lang w:val="en-US"/>
              </w:rPr>
              <w:t>Коэффициент</w:t>
            </w:r>
            <w:proofErr w:type="spellEnd"/>
            <w:r w:rsidRPr="00FA51DA">
              <w:rPr>
                <w:rFonts w:ascii="Times New Roman" w:hAnsi="Times New Roman"/>
                <w:lang w:val="en-US"/>
              </w:rPr>
              <w:t xml:space="preserve"> </w:t>
            </w:r>
            <w:proofErr w:type="spellStart"/>
            <w:r w:rsidRPr="00FA51DA">
              <w:rPr>
                <w:rFonts w:ascii="Times New Roman" w:hAnsi="Times New Roman"/>
                <w:lang w:val="en-US"/>
              </w:rPr>
              <w:t>автономии</w:t>
            </w:r>
            <w:proofErr w:type="spellEnd"/>
            <w:r w:rsidRPr="00FA51DA">
              <w:rPr>
                <w:rFonts w:ascii="Times New Roman" w:hAnsi="Times New Roman"/>
                <w:lang w:val="en-US"/>
              </w:rPr>
              <w:t xml:space="preserve"> (</w:t>
            </w:r>
            <w:proofErr w:type="spellStart"/>
            <w:r w:rsidRPr="00FA51DA">
              <w:rPr>
                <w:rFonts w:ascii="Times New Roman" w:hAnsi="Times New Roman"/>
                <w:lang w:val="en-US"/>
              </w:rPr>
              <w:t>проц</w:t>
            </w:r>
            <w:proofErr w:type="spellEnd"/>
            <w:r w:rsidRPr="00FA51DA">
              <w:rPr>
                <w:rFonts w:ascii="Times New Roman" w:hAnsi="Times New Roman"/>
              </w:rPr>
              <w:t>.</w:t>
            </w:r>
            <w:r w:rsidRPr="00FA51DA">
              <w:rPr>
                <w:rFonts w:ascii="Times New Roman" w:hAnsi="Times New Roman"/>
                <w:lang w:val="en-US"/>
              </w:rPr>
              <w:t>)</w:t>
            </w:r>
            <w:r w:rsidRPr="00FA51DA">
              <w:rPr>
                <w:rFonts w:ascii="Times New Roman" w:hAnsi="Times New Roman"/>
              </w:rPr>
              <w:t xml:space="preserve"> (5)</w:t>
            </w:r>
          </w:p>
        </w:tc>
        <w:tc>
          <w:tcPr>
            <w:tcW w:w="2868" w:type="dxa"/>
          </w:tcPr>
          <w:p w:rsidR="00D94969" w:rsidRPr="00FA51DA" w:rsidRDefault="00D94969" w:rsidP="00574718">
            <w:pPr>
              <w:jc w:val="both"/>
              <w:rPr>
                <w:color w:val="000000"/>
                <w:sz w:val="24"/>
                <w:szCs w:val="24"/>
                <w:lang w:val="en-US"/>
              </w:rPr>
            </w:pPr>
            <w:r w:rsidRPr="00FA51DA">
              <w:rPr>
                <w:color w:val="000000"/>
                <w:sz w:val="24"/>
                <w:szCs w:val="24"/>
              </w:rPr>
              <w:t>0,7412</w:t>
            </w:r>
          </w:p>
        </w:tc>
      </w:tr>
      <w:tr w:rsidR="00D94969" w:rsidRPr="005D6559" w:rsidTr="0091208F">
        <w:tc>
          <w:tcPr>
            <w:tcW w:w="6771" w:type="dxa"/>
          </w:tcPr>
          <w:p w:rsidR="00D94969" w:rsidRPr="00FA51DA" w:rsidRDefault="00D94969" w:rsidP="00574718">
            <w:pPr>
              <w:pStyle w:val="a4"/>
              <w:jc w:val="both"/>
              <w:rPr>
                <w:rFonts w:ascii="Times New Roman" w:hAnsi="Times New Roman"/>
              </w:rPr>
            </w:pPr>
            <w:r w:rsidRPr="00FA51DA">
              <w:rPr>
                <w:rFonts w:ascii="Times New Roman" w:hAnsi="Times New Roman"/>
              </w:rPr>
              <w:t>Средний срок оборота кредиторской задолженности (</w:t>
            </w:r>
            <w:proofErr w:type="spellStart"/>
            <w:r w:rsidRPr="00FA51DA">
              <w:rPr>
                <w:rFonts w:ascii="Times New Roman" w:hAnsi="Times New Roman"/>
              </w:rPr>
              <w:t>дн</w:t>
            </w:r>
            <w:proofErr w:type="spellEnd"/>
            <w:r w:rsidRPr="00FA51DA">
              <w:rPr>
                <w:rFonts w:ascii="Times New Roman" w:hAnsi="Times New Roman"/>
              </w:rPr>
              <w:t>.) (6)</w:t>
            </w:r>
          </w:p>
        </w:tc>
        <w:tc>
          <w:tcPr>
            <w:tcW w:w="2868" w:type="dxa"/>
          </w:tcPr>
          <w:p w:rsidR="00D94969" w:rsidRPr="00FA51DA" w:rsidRDefault="00D94969" w:rsidP="00574718">
            <w:pPr>
              <w:jc w:val="both"/>
              <w:rPr>
                <w:color w:val="000000"/>
                <w:sz w:val="24"/>
                <w:szCs w:val="24"/>
                <w:lang w:val="en-US"/>
              </w:rPr>
            </w:pPr>
            <w:r w:rsidRPr="00FA51DA">
              <w:rPr>
                <w:color w:val="000000"/>
                <w:sz w:val="24"/>
                <w:szCs w:val="24"/>
              </w:rPr>
              <w:t>0,7036</w:t>
            </w:r>
          </w:p>
        </w:tc>
      </w:tr>
      <w:tr w:rsidR="00D94969" w:rsidRPr="005D6559" w:rsidTr="0091208F">
        <w:tc>
          <w:tcPr>
            <w:tcW w:w="6771" w:type="dxa"/>
          </w:tcPr>
          <w:p w:rsidR="00D94969" w:rsidRPr="00FA51DA" w:rsidRDefault="00D94969" w:rsidP="00574718">
            <w:pPr>
              <w:pStyle w:val="a4"/>
              <w:jc w:val="both"/>
              <w:rPr>
                <w:rFonts w:ascii="Times New Roman" w:hAnsi="Times New Roman"/>
              </w:rPr>
            </w:pPr>
            <w:r w:rsidRPr="00FA51DA">
              <w:rPr>
                <w:rFonts w:ascii="Times New Roman" w:hAnsi="Times New Roman"/>
              </w:rPr>
              <w:t>Оборачиваемость активов (раз) (7)</w:t>
            </w:r>
          </w:p>
        </w:tc>
        <w:tc>
          <w:tcPr>
            <w:tcW w:w="2868" w:type="dxa"/>
          </w:tcPr>
          <w:p w:rsidR="00D94969" w:rsidRPr="00FA51DA" w:rsidRDefault="00D94969" w:rsidP="00574718">
            <w:pPr>
              <w:jc w:val="both"/>
              <w:rPr>
                <w:color w:val="000000"/>
                <w:sz w:val="24"/>
                <w:szCs w:val="24"/>
                <w:lang w:val="en-US"/>
              </w:rPr>
            </w:pPr>
            <w:r w:rsidRPr="00FA51DA">
              <w:rPr>
                <w:color w:val="000000"/>
                <w:sz w:val="24"/>
                <w:szCs w:val="24"/>
              </w:rPr>
              <w:t>0,6889</w:t>
            </w:r>
          </w:p>
        </w:tc>
      </w:tr>
    </w:tbl>
    <w:p w:rsidR="00D94969" w:rsidRPr="00E06EB0" w:rsidRDefault="00D94969" w:rsidP="00C052ED">
      <w:pPr>
        <w:pStyle w:val="a4"/>
        <w:spacing w:before="120" w:line="360" w:lineRule="auto"/>
        <w:ind w:firstLine="709"/>
        <w:jc w:val="both"/>
        <w:rPr>
          <w:rFonts w:ascii="Times New Roman" w:hAnsi="Times New Roman"/>
          <w:sz w:val="28"/>
        </w:rPr>
      </w:pPr>
      <w:r>
        <w:rPr>
          <w:rFonts w:ascii="Times New Roman" w:hAnsi="Times New Roman"/>
          <w:sz w:val="28"/>
        </w:rPr>
        <w:t xml:space="preserve">Таким образом, были выбраны </w:t>
      </w:r>
      <w:r w:rsidRPr="009028AC">
        <w:rPr>
          <w:rFonts w:ascii="Times New Roman" w:hAnsi="Times New Roman"/>
          <w:sz w:val="28"/>
        </w:rPr>
        <w:t>7</w:t>
      </w:r>
      <w:r>
        <w:rPr>
          <w:rFonts w:ascii="Times New Roman" w:hAnsi="Times New Roman"/>
          <w:sz w:val="28"/>
        </w:rPr>
        <w:t xml:space="preserve"> наиболее значимых показателей</w:t>
      </w:r>
      <w:r w:rsidRPr="00E06EB0">
        <w:rPr>
          <w:rFonts w:ascii="Times New Roman" w:hAnsi="Times New Roman"/>
          <w:sz w:val="28"/>
        </w:rPr>
        <w:t xml:space="preserve"> (у которых площадь криволинейной трапеции под </w:t>
      </w:r>
      <w:r w:rsidRPr="00F80621">
        <w:rPr>
          <w:rFonts w:ascii="Times New Roman" w:hAnsi="Times New Roman"/>
          <w:sz w:val="28"/>
          <w:szCs w:val="28"/>
          <w:lang w:val="en-US"/>
        </w:rPr>
        <w:t>ROC</w:t>
      </w:r>
      <w:r w:rsidRPr="00F80621">
        <w:rPr>
          <w:rFonts w:ascii="Times New Roman" w:eastAsia="MinionPro-It" w:hAnsi="Times New Roman"/>
          <w:sz w:val="28"/>
          <w:szCs w:val="28"/>
        </w:rPr>
        <w:t>–</w:t>
      </w:r>
      <w:r w:rsidRPr="00F80621">
        <w:rPr>
          <w:rFonts w:ascii="Times New Roman" w:hAnsi="Times New Roman"/>
          <w:sz w:val="28"/>
          <w:szCs w:val="28"/>
        </w:rPr>
        <w:t>кривой</w:t>
      </w:r>
      <w:r>
        <w:rPr>
          <w:rFonts w:ascii="Times New Roman" w:hAnsi="Times New Roman"/>
          <w:sz w:val="28"/>
        </w:rPr>
        <w:t xml:space="preserve"> превышала значение 0,</w:t>
      </w:r>
      <w:r w:rsidRPr="009028AC">
        <w:rPr>
          <w:rFonts w:ascii="Times New Roman" w:hAnsi="Times New Roman"/>
          <w:sz w:val="28"/>
        </w:rPr>
        <w:t>65</w:t>
      </w:r>
      <w:r>
        <w:rPr>
          <w:rFonts w:ascii="Times New Roman" w:hAnsi="Times New Roman"/>
          <w:sz w:val="28"/>
        </w:rPr>
        <w:t>).</w:t>
      </w:r>
    </w:p>
    <w:p w:rsidR="00D94969" w:rsidRDefault="00D94969" w:rsidP="00CD2BB6">
      <w:pPr>
        <w:pStyle w:val="a4"/>
        <w:spacing w:line="360" w:lineRule="auto"/>
        <w:ind w:firstLine="709"/>
        <w:jc w:val="both"/>
        <w:rPr>
          <w:rFonts w:ascii="Times New Roman" w:hAnsi="Times New Roman"/>
          <w:sz w:val="28"/>
        </w:rPr>
      </w:pPr>
      <w:r>
        <w:rPr>
          <w:rFonts w:ascii="Times New Roman" w:hAnsi="Times New Roman"/>
          <w:sz w:val="28"/>
        </w:rPr>
        <w:t>Следующим этапом отбора являлась</w:t>
      </w:r>
      <w:r w:rsidRPr="00511FED">
        <w:rPr>
          <w:rFonts w:ascii="Times New Roman" w:hAnsi="Times New Roman"/>
          <w:sz w:val="28"/>
        </w:rPr>
        <w:t xml:space="preserve"> проверка наличия эффекта </w:t>
      </w:r>
      <w:proofErr w:type="spellStart"/>
      <w:r w:rsidRPr="00511FED">
        <w:rPr>
          <w:rFonts w:ascii="Times New Roman" w:hAnsi="Times New Roman"/>
          <w:sz w:val="28"/>
        </w:rPr>
        <w:t>мультиколлинеарности</w:t>
      </w:r>
      <w:proofErr w:type="spellEnd"/>
      <w:r w:rsidRPr="00511FED">
        <w:rPr>
          <w:rFonts w:ascii="Times New Roman" w:hAnsi="Times New Roman"/>
          <w:sz w:val="28"/>
        </w:rPr>
        <w:t>. Данная пр</w:t>
      </w:r>
      <w:r>
        <w:rPr>
          <w:rFonts w:ascii="Times New Roman" w:hAnsi="Times New Roman"/>
          <w:sz w:val="28"/>
        </w:rPr>
        <w:t>оцедура осуществлялась</w:t>
      </w:r>
      <w:r w:rsidRPr="00511FED">
        <w:rPr>
          <w:rFonts w:ascii="Times New Roman" w:hAnsi="Times New Roman"/>
          <w:sz w:val="28"/>
        </w:rPr>
        <w:t xml:space="preserve"> с помощью рангового коэффициента корреляции </w:t>
      </w:r>
      <w:proofErr w:type="spellStart"/>
      <w:r w:rsidRPr="00511FED">
        <w:rPr>
          <w:rFonts w:ascii="Times New Roman" w:hAnsi="Times New Roman"/>
          <w:sz w:val="28"/>
        </w:rPr>
        <w:t>Спирмена</w:t>
      </w:r>
      <w:proofErr w:type="spellEnd"/>
      <w:r w:rsidRPr="00511FED">
        <w:rPr>
          <w:rFonts w:ascii="Times New Roman" w:hAnsi="Times New Roman"/>
          <w:sz w:val="28"/>
        </w:rPr>
        <w:t>, который также обладает свойством робастности и в отличие от коэффициента корреляции Пирсона может оценивать нелинейный характер зависи</w:t>
      </w:r>
      <w:r>
        <w:rPr>
          <w:rFonts w:ascii="Times New Roman" w:hAnsi="Times New Roman"/>
          <w:sz w:val="28"/>
        </w:rPr>
        <w:t>мости между двумя показателями</w:t>
      </w:r>
      <w:r w:rsidRPr="00E06EB0">
        <w:rPr>
          <w:rFonts w:ascii="Times New Roman" w:hAnsi="Times New Roman"/>
          <w:sz w:val="28"/>
        </w:rPr>
        <w:t xml:space="preserve"> (табл. 2).</w:t>
      </w:r>
    </w:p>
    <w:p w:rsidR="00D94969" w:rsidRDefault="00D94969" w:rsidP="00CD2BB6">
      <w:pPr>
        <w:pStyle w:val="a4"/>
        <w:spacing w:line="360" w:lineRule="auto"/>
        <w:ind w:firstLine="709"/>
        <w:jc w:val="both"/>
        <w:rPr>
          <w:rFonts w:ascii="Times New Roman" w:hAnsi="Times New Roman"/>
          <w:sz w:val="28"/>
        </w:rPr>
      </w:pPr>
    </w:p>
    <w:p w:rsidR="00D94969" w:rsidRDefault="00D94969" w:rsidP="00CD2BB6">
      <w:pPr>
        <w:pStyle w:val="a4"/>
        <w:spacing w:line="360" w:lineRule="auto"/>
        <w:ind w:firstLine="709"/>
        <w:jc w:val="both"/>
        <w:rPr>
          <w:rFonts w:ascii="Times New Roman" w:hAnsi="Times New Roman"/>
          <w:sz w:val="28"/>
          <w:lang w:val="en-US"/>
        </w:rPr>
      </w:pPr>
    </w:p>
    <w:p w:rsidR="00D94969" w:rsidRPr="00AC7BE0" w:rsidRDefault="00D94969" w:rsidP="00CD2BB6">
      <w:pPr>
        <w:pStyle w:val="a4"/>
        <w:spacing w:line="360" w:lineRule="auto"/>
        <w:ind w:firstLine="709"/>
        <w:jc w:val="both"/>
        <w:rPr>
          <w:rFonts w:ascii="Times New Roman" w:hAnsi="Times New Roman"/>
          <w:sz w:val="28"/>
          <w:lang w:val="en-US"/>
        </w:rPr>
      </w:pPr>
    </w:p>
    <w:p w:rsidR="00D94969" w:rsidRPr="000944B2" w:rsidRDefault="00D94969" w:rsidP="00CD2BB6">
      <w:pPr>
        <w:pStyle w:val="a4"/>
        <w:spacing w:line="360" w:lineRule="auto"/>
        <w:ind w:firstLine="709"/>
        <w:jc w:val="both"/>
        <w:rPr>
          <w:rFonts w:ascii="Times New Roman" w:hAnsi="Times New Roman"/>
          <w:sz w:val="12"/>
          <w:szCs w:val="12"/>
        </w:rPr>
      </w:pPr>
    </w:p>
    <w:p w:rsidR="00D94969" w:rsidRPr="00E06EB0" w:rsidRDefault="00D94969" w:rsidP="0091208F">
      <w:pPr>
        <w:pStyle w:val="a4"/>
        <w:spacing w:before="120"/>
        <w:jc w:val="right"/>
        <w:rPr>
          <w:rFonts w:ascii="Times New Roman" w:hAnsi="Times New Roman"/>
          <w:sz w:val="28"/>
        </w:rPr>
      </w:pPr>
      <w:r w:rsidRPr="00E06EB0">
        <w:rPr>
          <w:rFonts w:ascii="Times New Roman" w:hAnsi="Times New Roman"/>
          <w:sz w:val="28"/>
        </w:rPr>
        <w:lastRenderedPageBreak/>
        <w:t>Таблица 2</w:t>
      </w:r>
    </w:p>
    <w:p w:rsidR="00D94969" w:rsidRDefault="00D94969" w:rsidP="0091208F">
      <w:pPr>
        <w:pStyle w:val="a4"/>
        <w:spacing w:after="120"/>
        <w:jc w:val="center"/>
        <w:rPr>
          <w:rFonts w:ascii="Times New Roman" w:hAnsi="Times New Roman"/>
          <w:b/>
          <w:sz w:val="28"/>
          <w:lang w:val="en-US"/>
        </w:rPr>
      </w:pPr>
      <w:r w:rsidRPr="00E06EB0">
        <w:rPr>
          <w:rFonts w:ascii="Times New Roman" w:hAnsi="Times New Roman"/>
          <w:b/>
          <w:sz w:val="28"/>
        </w:rPr>
        <w:t>Корреляционная матрица</w:t>
      </w:r>
    </w:p>
    <w:p w:rsidR="00D94969" w:rsidRPr="000117E2" w:rsidRDefault="00D94969" w:rsidP="00CD2BB6">
      <w:pPr>
        <w:pStyle w:val="a4"/>
        <w:jc w:val="center"/>
        <w:rPr>
          <w:rFonts w:ascii="Times New Roman" w:hAnsi="Times New Roman"/>
          <w:b/>
          <w:sz w:val="12"/>
          <w:szCs w:val="12"/>
          <w:lang w:val="en-US"/>
        </w:rPr>
      </w:pP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234"/>
        <w:gridCol w:w="1234"/>
        <w:gridCol w:w="1232"/>
        <w:gridCol w:w="1232"/>
        <w:gridCol w:w="1232"/>
        <w:gridCol w:w="1232"/>
        <w:gridCol w:w="1154"/>
      </w:tblGrid>
      <w:tr w:rsidR="00D94969" w:rsidRPr="005D6559" w:rsidTr="0091208F">
        <w:trPr>
          <w:trHeight w:val="284"/>
        </w:trPr>
        <w:tc>
          <w:tcPr>
            <w:tcW w:w="586" w:type="pct"/>
          </w:tcPr>
          <w:p w:rsidR="00D94969" w:rsidRPr="005D6559" w:rsidRDefault="00D94969" w:rsidP="00574718">
            <w:pPr>
              <w:pStyle w:val="a4"/>
              <w:rPr>
                <w:rFonts w:ascii="Times New Roman" w:hAnsi="Times New Roman"/>
              </w:rPr>
            </w:pPr>
          </w:p>
        </w:tc>
        <w:tc>
          <w:tcPr>
            <w:tcW w:w="637" w:type="pct"/>
          </w:tcPr>
          <w:p w:rsidR="00D94969" w:rsidRPr="005D6559" w:rsidRDefault="00D94969" w:rsidP="00574718">
            <w:pPr>
              <w:pStyle w:val="a4"/>
              <w:rPr>
                <w:rFonts w:ascii="Times New Roman" w:hAnsi="Times New Roman"/>
              </w:rPr>
            </w:pPr>
            <w:r w:rsidRPr="005D6559">
              <w:rPr>
                <w:rFonts w:ascii="Times New Roman" w:hAnsi="Times New Roman"/>
              </w:rPr>
              <w:t>1</w:t>
            </w:r>
          </w:p>
        </w:tc>
        <w:tc>
          <w:tcPr>
            <w:tcW w:w="637" w:type="pct"/>
          </w:tcPr>
          <w:p w:rsidR="00D94969" w:rsidRPr="005D6559" w:rsidRDefault="00D94969" w:rsidP="00574718">
            <w:pPr>
              <w:pStyle w:val="a4"/>
              <w:rPr>
                <w:rFonts w:ascii="Times New Roman" w:hAnsi="Times New Roman"/>
              </w:rPr>
            </w:pPr>
            <w:r w:rsidRPr="005D6559">
              <w:rPr>
                <w:rFonts w:ascii="Times New Roman" w:hAnsi="Times New Roman"/>
              </w:rPr>
              <w:t>2</w:t>
            </w:r>
          </w:p>
        </w:tc>
        <w:tc>
          <w:tcPr>
            <w:tcW w:w="636" w:type="pct"/>
          </w:tcPr>
          <w:p w:rsidR="00D94969" w:rsidRPr="005D6559" w:rsidRDefault="00D94969" w:rsidP="00574718">
            <w:pPr>
              <w:pStyle w:val="a4"/>
              <w:rPr>
                <w:rFonts w:ascii="Times New Roman" w:hAnsi="Times New Roman"/>
              </w:rPr>
            </w:pPr>
            <w:r w:rsidRPr="005D6559">
              <w:rPr>
                <w:rFonts w:ascii="Times New Roman" w:hAnsi="Times New Roman"/>
              </w:rPr>
              <w:t>3</w:t>
            </w:r>
          </w:p>
        </w:tc>
        <w:tc>
          <w:tcPr>
            <w:tcW w:w="636" w:type="pct"/>
          </w:tcPr>
          <w:p w:rsidR="00D94969" w:rsidRPr="005D6559" w:rsidRDefault="00D94969" w:rsidP="00574718">
            <w:pPr>
              <w:pStyle w:val="a4"/>
              <w:rPr>
                <w:rFonts w:ascii="Times New Roman" w:hAnsi="Times New Roman"/>
              </w:rPr>
            </w:pPr>
            <w:r w:rsidRPr="005D6559">
              <w:rPr>
                <w:rFonts w:ascii="Times New Roman" w:hAnsi="Times New Roman"/>
              </w:rPr>
              <w:t>4</w:t>
            </w:r>
          </w:p>
        </w:tc>
        <w:tc>
          <w:tcPr>
            <w:tcW w:w="636" w:type="pct"/>
          </w:tcPr>
          <w:p w:rsidR="00D94969" w:rsidRPr="005D6559" w:rsidRDefault="00D94969" w:rsidP="00574718">
            <w:pPr>
              <w:pStyle w:val="a4"/>
              <w:rPr>
                <w:rFonts w:ascii="Times New Roman" w:hAnsi="Times New Roman"/>
              </w:rPr>
            </w:pPr>
            <w:r w:rsidRPr="005D6559">
              <w:rPr>
                <w:rFonts w:ascii="Times New Roman" w:hAnsi="Times New Roman"/>
              </w:rPr>
              <w:t>5</w:t>
            </w:r>
          </w:p>
        </w:tc>
        <w:tc>
          <w:tcPr>
            <w:tcW w:w="636" w:type="pct"/>
          </w:tcPr>
          <w:p w:rsidR="00D94969" w:rsidRPr="005D6559" w:rsidRDefault="00D94969" w:rsidP="00574718">
            <w:pPr>
              <w:pStyle w:val="a4"/>
              <w:rPr>
                <w:rFonts w:ascii="Times New Roman" w:hAnsi="Times New Roman"/>
              </w:rPr>
            </w:pPr>
            <w:r w:rsidRPr="005D6559">
              <w:rPr>
                <w:rFonts w:ascii="Times New Roman" w:hAnsi="Times New Roman"/>
              </w:rPr>
              <w:t>6</w:t>
            </w:r>
          </w:p>
        </w:tc>
        <w:tc>
          <w:tcPr>
            <w:tcW w:w="597" w:type="pct"/>
          </w:tcPr>
          <w:p w:rsidR="00D94969" w:rsidRPr="005D6559" w:rsidRDefault="00D94969" w:rsidP="00574718">
            <w:pPr>
              <w:pStyle w:val="a4"/>
              <w:rPr>
                <w:rFonts w:ascii="Times New Roman" w:hAnsi="Times New Roman"/>
              </w:rPr>
            </w:pPr>
            <w:r w:rsidRPr="005D6559">
              <w:rPr>
                <w:rFonts w:ascii="Times New Roman" w:hAnsi="Times New Roman"/>
              </w:rPr>
              <w:t>7</w:t>
            </w:r>
          </w:p>
        </w:tc>
      </w:tr>
      <w:tr w:rsidR="00D94969" w:rsidRPr="005D6559" w:rsidTr="0091208F">
        <w:trPr>
          <w:trHeight w:val="113"/>
        </w:trPr>
        <w:tc>
          <w:tcPr>
            <w:tcW w:w="586" w:type="pct"/>
          </w:tcPr>
          <w:p w:rsidR="00D94969" w:rsidRPr="005D6559" w:rsidRDefault="00D94969" w:rsidP="00574718">
            <w:pPr>
              <w:pStyle w:val="a4"/>
              <w:rPr>
                <w:rFonts w:ascii="Times New Roman" w:hAnsi="Times New Roman"/>
              </w:rPr>
            </w:pPr>
            <w:r w:rsidRPr="005D6559">
              <w:rPr>
                <w:rFonts w:ascii="Times New Roman" w:hAnsi="Times New Roman"/>
              </w:rPr>
              <w:t>1</w:t>
            </w:r>
          </w:p>
        </w:tc>
        <w:tc>
          <w:tcPr>
            <w:tcW w:w="637" w:type="pct"/>
          </w:tcPr>
          <w:p w:rsidR="00D94969" w:rsidRPr="00FA51DA" w:rsidRDefault="00D94969" w:rsidP="00574718">
            <w:pPr>
              <w:rPr>
                <w:color w:val="000000"/>
                <w:sz w:val="24"/>
                <w:szCs w:val="24"/>
              </w:rPr>
            </w:pPr>
            <w:r w:rsidRPr="00FA51DA">
              <w:rPr>
                <w:color w:val="000000"/>
                <w:sz w:val="24"/>
                <w:szCs w:val="24"/>
              </w:rPr>
              <w:t>1</w:t>
            </w:r>
          </w:p>
        </w:tc>
        <w:tc>
          <w:tcPr>
            <w:tcW w:w="637" w:type="pct"/>
          </w:tcPr>
          <w:p w:rsidR="00D94969" w:rsidRPr="00FA51DA" w:rsidRDefault="00D94969" w:rsidP="00574718">
            <w:pPr>
              <w:rPr>
                <w:color w:val="000000"/>
                <w:sz w:val="24"/>
                <w:szCs w:val="24"/>
              </w:rPr>
            </w:pPr>
          </w:p>
        </w:tc>
        <w:tc>
          <w:tcPr>
            <w:tcW w:w="636" w:type="pct"/>
          </w:tcPr>
          <w:p w:rsidR="00D94969" w:rsidRPr="00FA51DA" w:rsidRDefault="00D94969" w:rsidP="00574718">
            <w:pPr>
              <w:rPr>
                <w:color w:val="000000"/>
                <w:sz w:val="24"/>
                <w:szCs w:val="24"/>
              </w:rPr>
            </w:pPr>
          </w:p>
        </w:tc>
        <w:tc>
          <w:tcPr>
            <w:tcW w:w="636" w:type="pct"/>
          </w:tcPr>
          <w:p w:rsidR="00D94969" w:rsidRPr="00FA51DA" w:rsidRDefault="00D94969" w:rsidP="00574718">
            <w:pPr>
              <w:rPr>
                <w:color w:val="000000"/>
                <w:sz w:val="24"/>
                <w:szCs w:val="24"/>
              </w:rPr>
            </w:pPr>
          </w:p>
        </w:tc>
        <w:tc>
          <w:tcPr>
            <w:tcW w:w="636" w:type="pct"/>
          </w:tcPr>
          <w:p w:rsidR="00D94969" w:rsidRPr="00FA51DA" w:rsidRDefault="00D94969" w:rsidP="00574718">
            <w:pPr>
              <w:rPr>
                <w:color w:val="000000"/>
                <w:sz w:val="24"/>
                <w:szCs w:val="24"/>
              </w:rPr>
            </w:pPr>
          </w:p>
        </w:tc>
        <w:tc>
          <w:tcPr>
            <w:tcW w:w="636" w:type="pct"/>
          </w:tcPr>
          <w:p w:rsidR="00D94969" w:rsidRPr="00FA51DA" w:rsidRDefault="00D94969" w:rsidP="00574718">
            <w:pPr>
              <w:rPr>
                <w:color w:val="000000"/>
                <w:sz w:val="24"/>
                <w:szCs w:val="24"/>
              </w:rPr>
            </w:pPr>
          </w:p>
        </w:tc>
        <w:tc>
          <w:tcPr>
            <w:tcW w:w="597" w:type="pct"/>
          </w:tcPr>
          <w:p w:rsidR="00D94969" w:rsidRPr="00FA51DA" w:rsidRDefault="00D94969" w:rsidP="00574718">
            <w:pPr>
              <w:rPr>
                <w:color w:val="000000"/>
                <w:sz w:val="24"/>
                <w:szCs w:val="24"/>
              </w:rPr>
            </w:pPr>
          </w:p>
        </w:tc>
      </w:tr>
      <w:tr w:rsidR="00D94969" w:rsidRPr="005D6559" w:rsidTr="0091208F">
        <w:trPr>
          <w:trHeight w:val="113"/>
        </w:trPr>
        <w:tc>
          <w:tcPr>
            <w:tcW w:w="586" w:type="pct"/>
          </w:tcPr>
          <w:p w:rsidR="00D94969" w:rsidRPr="005D6559" w:rsidRDefault="00D94969" w:rsidP="00574718">
            <w:pPr>
              <w:pStyle w:val="a4"/>
              <w:rPr>
                <w:rFonts w:ascii="Times New Roman" w:hAnsi="Times New Roman"/>
              </w:rPr>
            </w:pPr>
            <w:r w:rsidRPr="005D6559">
              <w:rPr>
                <w:rFonts w:ascii="Times New Roman" w:hAnsi="Times New Roman"/>
              </w:rPr>
              <w:t>2</w:t>
            </w:r>
          </w:p>
        </w:tc>
        <w:tc>
          <w:tcPr>
            <w:tcW w:w="637" w:type="pct"/>
          </w:tcPr>
          <w:p w:rsidR="00D94969" w:rsidRPr="00FA51DA" w:rsidRDefault="00D94969" w:rsidP="00574718">
            <w:pPr>
              <w:rPr>
                <w:color w:val="000000"/>
                <w:sz w:val="24"/>
                <w:szCs w:val="24"/>
              </w:rPr>
            </w:pPr>
            <w:r w:rsidRPr="00FA51DA">
              <w:rPr>
                <w:color w:val="000000"/>
                <w:sz w:val="24"/>
                <w:szCs w:val="24"/>
              </w:rPr>
              <w:t>0,9353</w:t>
            </w:r>
          </w:p>
        </w:tc>
        <w:tc>
          <w:tcPr>
            <w:tcW w:w="637" w:type="pct"/>
          </w:tcPr>
          <w:p w:rsidR="00D94969" w:rsidRPr="00FA51DA" w:rsidRDefault="00D94969" w:rsidP="00574718">
            <w:pPr>
              <w:rPr>
                <w:color w:val="000000"/>
                <w:sz w:val="24"/>
                <w:szCs w:val="24"/>
              </w:rPr>
            </w:pPr>
            <w:r w:rsidRPr="00FA51DA">
              <w:rPr>
                <w:color w:val="000000"/>
                <w:sz w:val="24"/>
                <w:szCs w:val="24"/>
              </w:rPr>
              <w:t>1</w:t>
            </w:r>
          </w:p>
        </w:tc>
        <w:tc>
          <w:tcPr>
            <w:tcW w:w="636" w:type="pct"/>
          </w:tcPr>
          <w:p w:rsidR="00D94969" w:rsidRPr="00FA51DA" w:rsidRDefault="00D94969" w:rsidP="00574718">
            <w:pPr>
              <w:rPr>
                <w:color w:val="000000"/>
                <w:sz w:val="24"/>
                <w:szCs w:val="24"/>
              </w:rPr>
            </w:pPr>
          </w:p>
        </w:tc>
        <w:tc>
          <w:tcPr>
            <w:tcW w:w="636" w:type="pct"/>
          </w:tcPr>
          <w:p w:rsidR="00D94969" w:rsidRPr="00FA51DA" w:rsidRDefault="00D94969" w:rsidP="00574718">
            <w:pPr>
              <w:rPr>
                <w:color w:val="000000"/>
                <w:sz w:val="24"/>
                <w:szCs w:val="24"/>
              </w:rPr>
            </w:pPr>
          </w:p>
        </w:tc>
        <w:tc>
          <w:tcPr>
            <w:tcW w:w="636" w:type="pct"/>
          </w:tcPr>
          <w:p w:rsidR="00D94969" w:rsidRPr="00FA51DA" w:rsidRDefault="00D94969" w:rsidP="00574718">
            <w:pPr>
              <w:rPr>
                <w:color w:val="000000"/>
                <w:sz w:val="24"/>
                <w:szCs w:val="24"/>
              </w:rPr>
            </w:pPr>
          </w:p>
        </w:tc>
        <w:tc>
          <w:tcPr>
            <w:tcW w:w="636" w:type="pct"/>
          </w:tcPr>
          <w:p w:rsidR="00D94969" w:rsidRPr="00FA51DA" w:rsidRDefault="00D94969" w:rsidP="00574718">
            <w:pPr>
              <w:rPr>
                <w:color w:val="000000"/>
                <w:sz w:val="24"/>
                <w:szCs w:val="24"/>
              </w:rPr>
            </w:pPr>
          </w:p>
        </w:tc>
        <w:tc>
          <w:tcPr>
            <w:tcW w:w="597" w:type="pct"/>
          </w:tcPr>
          <w:p w:rsidR="00D94969" w:rsidRPr="00FA51DA" w:rsidRDefault="00D94969" w:rsidP="00574718">
            <w:pPr>
              <w:rPr>
                <w:color w:val="000000"/>
                <w:sz w:val="24"/>
                <w:szCs w:val="24"/>
              </w:rPr>
            </w:pPr>
          </w:p>
        </w:tc>
      </w:tr>
      <w:tr w:rsidR="00D94969" w:rsidRPr="005D6559" w:rsidTr="0091208F">
        <w:trPr>
          <w:trHeight w:val="113"/>
        </w:trPr>
        <w:tc>
          <w:tcPr>
            <w:tcW w:w="586" w:type="pct"/>
          </w:tcPr>
          <w:p w:rsidR="00D94969" w:rsidRPr="005D6559" w:rsidRDefault="00D94969" w:rsidP="00574718">
            <w:pPr>
              <w:pStyle w:val="a4"/>
              <w:rPr>
                <w:rFonts w:ascii="Times New Roman" w:hAnsi="Times New Roman"/>
              </w:rPr>
            </w:pPr>
            <w:r w:rsidRPr="005D6559">
              <w:rPr>
                <w:rFonts w:ascii="Times New Roman" w:hAnsi="Times New Roman"/>
              </w:rPr>
              <w:t>3</w:t>
            </w:r>
          </w:p>
        </w:tc>
        <w:tc>
          <w:tcPr>
            <w:tcW w:w="637" w:type="pct"/>
          </w:tcPr>
          <w:p w:rsidR="00D94969" w:rsidRPr="00FA51DA" w:rsidRDefault="00D94969" w:rsidP="00574718">
            <w:pPr>
              <w:rPr>
                <w:color w:val="000000"/>
                <w:sz w:val="24"/>
                <w:szCs w:val="24"/>
                <w:lang w:val="en-US"/>
              </w:rPr>
            </w:pPr>
            <w:r w:rsidRPr="00FA51DA">
              <w:rPr>
                <w:color w:val="000000"/>
                <w:sz w:val="24"/>
                <w:szCs w:val="24"/>
              </w:rPr>
              <w:t>0,9391</w:t>
            </w:r>
          </w:p>
        </w:tc>
        <w:tc>
          <w:tcPr>
            <w:tcW w:w="637" w:type="pct"/>
          </w:tcPr>
          <w:p w:rsidR="00D94969" w:rsidRPr="00FA51DA" w:rsidRDefault="00D94969" w:rsidP="00574718">
            <w:pPr>
              <w:rPr>
                <w:color w:val="000000"/>
                <w:sz w:val="24"/>
                <w:szCs w:val="24"/>
              </w:rPr>
            </w:pPr>
            <w:r w:rsidRPr="00FA51DA">
              <w:rPr>
                <w:color w:val="000000"/>
                <w:sz w:val="24"/>
                <w:szCs w:val="24"/>
              </w:rPr>
              <w:t>0,9951</w:t>
            </w:r>
          </w:p>
        </w:tc>
        <w:tc>
          <w:tcPr>
            <w:tcW w:w="636" w:type="pct"/>
          </w:tcPr>
          <w:p w:rsidR="00D94969" w:rsidRPr="00FA51DA" w:rsidRDefault="00D94969" w:rsidP="00574718">
            <w:pPr>
              <w:rPr>
                <w:color w:val="000000"/>
                <w:sz w:val="24"/>
                <w:szCs w:val="24"/>
              </w:rPr>
            </w:pPr>
            <w:r w:rsidRPr="00FA51DA">
              <w:rPr>
                <w:color w:val="000000"/>
                <w:sz w:val="24"/>
                <w:szCs w:val="24"/>
              </w:rPr>
              <w:t>1</w:t>
            </w:r>
          </w:p>
        </w:tc>
        <w:tc>
          <w:tcPr>
            <w:tcW w:w="636" w:type="pct"/>
          </w:tcPr>
          <w:p w:rsidR="00D94969" w:rsidRPr="00FA51DA" w:rsidRDefault="00D94969" w:rsidP="00574718">
            <w:pPr>
              <w:rPr>
                <w:color w:val="000000"/>
                <w:sz w:val="24"/>
                <w:szCs w:val="24"/>
              </w:rPr>
            </w:pPr>
          </w:p>
        </w:tc>
        <w:tc>
          <w:tcPr>
            <w:tcW w:w="636" w:type="pct"/>
          </w:tcPr>
          <w:p w:rsidR="00D94969" w:rsidRPr="00FA51DA" w:rsidRDefault="00D94969" w:rsidP="00574718">
            <w:pPr>
              <w:rPr>
                <w:color w:val="000000"/>
                <w:sz w:val="24"/>
                <w:szCs w:val="24"/>
              </w:rPr>
            </w:pPr>
          </w:p>
        </w:tc>
        <w:tc>
          <w:tcPr>
            <w:tcW w:w="636" w:type="pct"/>
          </w:tcPr>
          <w:p w:rsidR="00D94969" w:rsidRPr="00FA51DA" w:rsidRDefault="00D94969" w:rsidP="00574718">
            <w:pPr>
              <w:rPr>
                <w:color w:val="000000"/>
                <w:sz w:val="24"/>
                <w:szCs w:val="24"/>
              </w:rPr>
            </w:pPr>
          </w:p>
        </w:tc>
        <w:tc>
          <w:tcPr>
            <w:tcW w:w="597" w:type="pct"/>
          </w:tcPr>
          <w:p w:rsidR="00D94969" w:rsidRPr="00FA51DA" w:rsidRDefault="00D94969" w:rsidP="00574718">
            <w:pPr>
              <w:rPr>
                <w:color w:val="000000"/>
                <w:sz w:val="24"/>
                <w:szCs w:val="24"/>
              </w:rPr>
            </w:pPr>
          </w:p>
        </w:tc>
      </w:tr>
      <w:tr w:rsidR="00D94969" w:rsidRPr="005D6559" w:rsidTr="0091208F">
        <w:trPr>
          <w:trHeight w:val="113"/>
        </w:trPr>
        <w:tc>
          <w:tcPr>
            <w:tcW w:w="586" w:type="pct"/>
          </w:tcPr>
          <w:p w:rsidR="00D94969" w:rsidRPr="005D6559" w:rsidRDefault="00D94969" w:rsidP="00574718">
            <w:pPr>
              <w:pStyle w:val="a4"/>
              <w:rPr>
                <w:rFonts w:ascii="Times New Roman" w:hAnsi="Times New Roman"/>
              </w:rPr>
            </w:pPr>
            <w:r w:rsidRPr="005D6559">
              <w:rPr>
                <w:rFonts w:ascii="Times New Roman" w:hAnsi="Times New Roman"/>
              </w:rPr>
              <w:t>4</w:t>
            </w:r>
          </w:p>
        </w:tc>
        <w:tc>
          <w:tcPr>
            <w:tcW w:w="637" w:type="pct"/>
          </w:tcPr>
          <w:p w:rsidR="00D94969" w:rsidRPr="00FA51DA" w:rsidRDefault="00D94969" w:rsidP="00574718">
            <w:pPr>
              <w:rPr>
                <w:color w:val="000000"/>
                <w:sz w:val="24"/>
                <w:szCs w:val="24"/>
              </w:rPr>
            </w:pPr>
            <w:r w:rsidRPr="00FA51DA">
              <w:rPr>
                <w:color w:val="000000"/>
                <w:sz w:val="24"/>
                <w:szCs w:val="24"/>
              </w:rPr>
              <w:t>0,7206</w:t>
            </w:r>
          </w:p>
        </w:tc>
        <w:tc>
          <w:tcPr>
            <w:tcW w:w="637" w:type="pct"/>
          </w:tcPr>
          <w:p w:rsidR="00D94969" w:rsidRPr="00FA51DA" w:rsidRDefault="00D94969" w:rsidP="00574718">
            <w:pPr>
              <w:rPr>
                <w:color w:val="000000"/>
                <w:sz w:val="24"/>
                <w:szCs w:val="24"/>
              </w:rPr>
            </w:pPr>
            <w:r w:rsidRPr="00FA51DA">
              <w:rPr>
                <w:color w:val="000000"/>
                <w:sz w:val="24"/>
                <w:szCs w:val="24"/>
              </w:rPr>
              <w:t>0,6451</w:t>
            </w:r>
          </w:p>
        </w:tc>
        <w:tc>
          <w:tcPr>
            <w:tcW w:w="636" w:type="pct"/>
          </w:tcPr>
          <w:p w:rsidR="00D94969" w:rsidRPr="00FA51DA" w:rsidRDefault="00D94969" w:rsidP="00574718">
            <w:pPr>
              <w:rPr>
                <w:color w:val="000000"/>
                <w:sz w:val="24"/>
                <w:szCs w:val="24"/>
              </w:rPr>
            </w:pPr>
            <w:r w:rsidRPr="00FA51DA">
              <w:rPr>
                <w:color w:val="000000"/>
                <w:sz w:val="24"/>
                <w:szCs w:val="24"/>
              </w:rPr>
              <w:t>0,661</w:t>
            </w:r>
          </w:p>
        </w:tc>
        <w:tc>
          <w:tcPr>
            <w:tcW w:w="636" w:type="pct"/>
          </w:tcPr>
          <w:p w:rsidR="00D94969" w:rsidRPr="00FA51DA" w:rsidRDefault="00D94969" w:rsidP="00574718">
            <w:pPr>
              <w:rPr>
                <w:color w:val="000000"/>
                <w:sz w:val="24"/>
                <w:szCs w:val="24"/>
              </w:rPr>
            </w:pPr>
            <w:r w:rsidRPr="00FA51DA">
              <w:rPr>
                <w:color w:val="000000"/>
                <w:sz w:val="24"/>
                <w:szCs w:val="24"/>
              </w:rPr>
              <w:t>1</w:t>
            </w:r>
          </w:p>
        </w:tc>
        <w:tc>
          <w:tcPr>
            <w:tcW w:w="636" w:type="pct"/>
          </w:tcPr>
          <w:p w:rsidR="00D94969" w:rsidRPr="00FA51DA" w:rsidRDefault="00D94969" w:rsidP="00574718">
            <w:pPr>
              <w:rPr>
                <w:color w:val="000000"/>
                <w:sz w:val="24"/>
                <w:szCs w:val="24"/>
              </w:rPr>
            </w:pPr>
          </w:p>
        </w:tc>
        <w:tc>
          <w:tcPr>
            <w:tcW w:w="636" w:type="pct"/>
          </w:tcPr>
          <w:p w:rsidR="00D94969" w:rsidRPr="00FA51DA" w:rsidRDefault="00D94969" w:rsidP="00574718">
            <w:pPr>
              <w:rPr>
                <w:color w:val="000000"/>
                <w:sz w:val="24"/>
                <w:szCs w:val="24"/>
              </w:rPr>
            </w:pPr>
          </w:p>
        </w:tc>
        <w:tc>
          <w:tcPr>
            <w:tcW w:w="597" w:type="pct"/>
          </w:tcPr>
          <w:p w:rsidR="00D94969" w:rsidRPr="00FA51DA" w:rsidRDefault="00D94969" w:rsidP="00574718">
            <w:pPr>
              <w:rPr>
                <w:color w:val="000000"/>
                <w:sz w:val="24"/>
                <w:szCs w:val="24"/>
              </w:rPr>
            </w:pPr>
          </w:p>
        </w:tc>
      </w:tr>
      <w:tr w:rsidR="00D94969" w:rsidRPr="005D6559" w:rsidTr="0091208F">
        <w:trPr>
          <w:trHeight w:val="113"/>
        </w:trPr>
        <w:tc>
          <w:tcPr>
            <w:tcW w:w="586" w:type="pct"/>
          </w:tcPr>
          <w:p w:rsidR="00D94969" w:rsidRPr="005D6559" w:rsidRDefault="00D94969" w:rsidP="00574718">
            <w:pPr>
              <w:pStyle w:val="a4"/>
              <w:rPr>
                <w:rFonts w:ascii="Times New Roman" w:hAnsi="Times New Roman"/>
              </w:rPr>
            </w:pPr>
            <w:r w:rsidRPr="005D6559">
              <w:rPr>
                <w:rFonts w:ascii="Times New Roman" w:hAnsi="Times New Roman"/>
              </w:rPr>
              <w:t>5</w:t>
            </w:r>
          </w:p>
        </w:tc>
        <w:tc>
          <w:tcPr>
            <w:tcW w:w="637" w:type="pct"/>
          </w:tcPr>
          <w:p w:rsidR="00D94969" w:rsidRPr="00FA51DA" w:rsidRDefault="00D94969" w:rsidP="00574718">
            <w:pPr>
              <w:rPr>
                <w:color w:val="000000"/>
                <w:sz w:val="24"/>
                <w:szCs w:val="24"/>
              </w:rPr>
            </w:pPr>
            <w:r w:rsidRPr="00FA51DA">
              <w:rPr>
                <w:color w:val="000000"/>
                <w:sz w:val="24"/>
                <w:szCs w:val="24"/>
              </w:rPr>
              <w:t>0,5326</w:t>
            </w:r>
          </w:p>
        </w:tc>
        <w:tc>
          <w:tcPr>
            <w:tcW w:w="637" w:type="pct"/>
          </w:tcPr>
          <w:p w:rsidR="00D94969" w:rsidRPr="00FA51DA" w:rsidRDefault="00D94969" w:rsidP="00574718">
            <w:pPr>
              <w:rPr>
                <w:color w:val="000000"/>
                <w:sz w:val="24"/>
                <w:szCs w:val="24"/>
              </w:rPr>
            </w:pPr>
            <w:r w:rsidRPr="00FA51DA">
              <w:rPr>
                <w:color w:val="000000"/>
                <w:sz w:val="24"/>
                <w:szCs w:val="24"/>
              </w:rPr>
              <w:t>0,4889</w:t>
            </w:r>
          </w:p>
        </w:tc>
        <w:tc>
          <w:tcPr>
            <w:tcW w:w="636" w:type="pct"/>
          </w:tcPr>
          <w:p w:rsidR="00D94969" w:rsidRPr="00FA51DA" w:rsidRDefault="00D94969" w:rsidP="00574718">
            <w:pPr>
              <w:rPr>
                <w:color w:val="000000"/>
                <w:sz w:val="24"/>
                <w:szCs w:val="24"/>
              </w:rPr>
            </w:pPr>
            <w:r w:rsidRPr="00FA51DA">
              <w:rPr>
                <w:color w:val="000000"/>
                <w:sz w:val="24"/>
                <w:szCs w:val="24"/>
              </w:rPr>
              <w:t>0,5023</w:t>
            </w:r>
          </w:p>
        </w:tc>
        <w:tc>
          <w:tcPr>
            <w:tcW w:w="636" w:type="pct"/>
          </w:tcPr>
          <w:p w:rsidR="00D94969" w:rsidRPr="00FA51DA" w:rsidRDefault="00D94969" w:rsidP="00574718">
            <w:pPr>
              <w:rPr>
                <w:color w:val="000000"/>
                <w:sz w:val="24"/>
                <w:szCs w:val="24"/>
              </w:rPr>
            </w:pPr>
            <w:r w:rsidRPr="00FA51DA">
              <w:rPr>
                <w:color w:val="000000"/>
                <w:sz w:val="24"/>
                <w:szCs w:val="24"/>
              </w:rPr>
              <w:t>0,7243</w:t>
            </w:r>
          </w:p>
        </w:tc>
        <w:tc>
          <w:tcPr>
            <w:tcW w:w="636" w:type="pct"/>
          </w:tcPr>
          <w:p w:rsidR="00D94969" w:rsidRPr="00FA51DA" w:rsidRDefault="00D94969" w:rsidP="00574718">
            <w:pPr>
              <w:rPr>
                <w:color w:val="000000"/>
                <w:sz w:val="24"/>
                <w:szCs w:val="24"/>
              </w:rPr>
            </w:pPr>
            <w:r w:rsidRPr="00FA51DA">
              <w:rPr>
                <w:color w:val="000000"/>
                <w:sz w:val="24"/>
                <w:szCs w:val="24"/>
              </w:rPr>
              <w:t>1</w:t>
            </w:r>
          </w:p>
        </w:tc>
        <w:tc>
          <w:tcPr>
            <w:tcW w:w="636" w:type="pct"/>
          </w:tcPr>
          <w:p w:rsidR="00D94969" w:rsidRPr="00FA51DA" w:rsidRDefault="00D94969" w:rsidP="00574718">
            <w:pPr>
              <w:rPr>
                <w:color w:val="000000"/>
                <w:sz w:val="24"/>
                <w:szCs w:val="24"/>
              </w:rPr>
            </w:pPr>
          </w:p>
        </w:tc>
        <w:tc>
          <w:tcPr>
            <w:tcW w:w="597" w:type="pct"/>
          </w:tcPr>
          <w:p w:rsidR="00D94969" w:rsidRPr="00FA51DA" w:rsidRDefault="00D94969" w:rsidP="00574718">
            <w:pPr>
              <w:rPr>
                <w:color w:val="000000"/>
                <w:sz w:val="24"/>
                <w:szCs w:val="24"/>
              </w:rPr>
            </w:pPr>
          </w:p>
        </w:tc>
      </w:tr>
      <w:tr w:rsidR="00D94969" w:rsidRPr="005D6559" w:rsidTr="0091208F">
        <w:trPr>
          <w:trHeight w:val="113"/>
        </w:trPr>
        <w:tc>
          <w:tcPr>
            <w:tcW w:w="586" w:type="pct"/>
          </w:tcPr>
          <w:p w:rsidR="00D94969" w:rsidRPr="005D6559" w:rsidRDefault="00D94969" w:rsidP="00574718">
            <w:pPr>
              <w:pStyle w:val="a4"/>
              <w:rPr>
                <w:rFonts w:ascii="Times New Roman" w:hAnsi="Times New Roman"/>
              </w:rPr>
            </w:pPr>
            <w:r w:rsidRPr="005D6559">
              <w:rPr>
                <w:rFonts w:ascii="Times New Roman" w:hAnsi="Times New Roman"/>
              </w:rPr>
              <w:t>6</w:t>
            </w:r>
          </w:p>
        </w:tc>
        <w:tc>
          <w:tcPr>
            <w:tcW w:w="637" w:type="pct"/>
          </w:tcPr>
          <w:p w:rsidR="00D94969" w:rsidRPr="00FA51DA" w:rsidRDefault="00D94969" w:rsidP="00574718">
            <w:pPr>
              <w:rPr>
                <w:color w:val="000000"/>
                <w:sz w:val="24"/>
                <w:szCs w:val="24"/>
              </w:rPr>
            </w:pPr>
            <w:r w:rsidRPr="00FA51DA">
              <w:rPr>
                <w:color w:val="000000"/>
                <w:sz w:val="24"/>
                <w:szCs w:val="24"/>
              </w:rPr>
              <w:t>-0,3155</w:t>
            </w:r>
          </w:p>
        </w:tc>
        <w:tc>
          <w:tcPr>
            <w:tcW w:w="637" w:type="pct"/>
          </w:tcPr>
          <w:p w:rsidR="00D94969" w:rsidRPr="00FA51DA" w:rsidRDefault="00D94969" w:rsidP="00574718">
            <w:pPr>
              <w:rPr>
                <w:color w:val="000000"/>
                <w:sz w:val="24"/>
                <w:szCs w:val="24"/>
              </w:rPr>
            </w:pPr>
            <w:r w:rsidRPr="00FA51DA">
              <w:rPr>
                <w:color w:val="000000"/>
                <w:sz w:val="24"/>
                <w:szCs w:val="24"/>
              </w:rPr>
              <w:t>-0,2379</w:t>
            </w:r>
          </w:p>
        </w:tc>
        <w:tc>
          <w:tcPr>
            <w:tcW w:w="636" w:type="pct"/>
          </w:tcPr>
          <w:p w:rsidR="00D94969" w:rsidRPr="00FA51DA" w:rsidRDefault="00D94969" w:rsidP="00574718">
            <w:pPr>
              <w:rPr>
                <w:color w:val="000000"/>
                <w:sz w:val="24"/>
                <w:szCs w:val="24"/>
              </w:rPr>
            </w:pPr>
            <w:r w:rsidRPr="00FA51DA">
              <w:rPr>
                <w:color w:val="000000"/>
                <w:sz w:val="24"/>
                <w:szCs w:val="24"/>
              </w:rPr>
              <w:t>-0,2335</w:t>
            </w:r>
          </w:p>
        </w:tc>
        <w:tc>
          <w:tcPr>
            <w:tcW w:w="636" w:type="pct"/>
          </w:tcPr>
          <w:p w:rsidR="00D94969" w:rsidRPr="00FA51DA" w:rsidRDefault="00D94969" w:rsidP="00574718">
            <w:pPr>
              <w:rPr>
                <w:color w:val="000000"/>
                <w:sz w:val="24"/>
                <w:szCs w:val="24"/>
              </w:rPr>
            </w:pPr>
            <w:r w:rsidRPr="00FA51DA">
              <w:rPr>
                <w:color w:val="000000"/>
                <w:sz w:val="24"/>
                <w:szCs w:val="24"/>
              </w:rPr>
              <w:t>-0,4635</w:t>
            </w:r>
          </w:p>
        </w:tc>
        <w:tc>
          <w:tcPr>
            <w:tcW w:w="636" w:type="pct"/>
          </w:tcPr>
          <w:p w:rsidR="00D94969" w:rsidRPr="00FA51DA" w:rsidRDefault="00D94969" w:rsidP="00574718">
            <w:pPr>
              <w:rPr>
                <w:color w:val="000000"/>
                <w:sz w:val="24"/>
                <w:szCs w:val="24"/>
              </w:rPr>
            </w:pPr>
            <w:r w:rsidRPr="00FA51DA">
              <w:rPr>
                <w:color w:val="000000"/>
                <w:sz w:val="24"/>
                <w:szCs w:val="24"/>
              </w:rPr>
              <w:t>-0,448</w:t>
            </w:r>
          </w:p>
        </w:tc>
        <w:tc>
          <w:tcPr>
            <w:tcW w:w="636" w:type="pct"/>
          </w:tcPr>
          <w:p w:rsidR="00D94969" w:rsidRPr="00FA51DA" w:rsidRDefault="00D94969" w:rsidP="00574718">
            <w:pPr>
              <w:rPr>
                <w:color w:val="000000"/>
                <w:sz w:val="24"/>
                <w:szCs w:val="24"/>
              </w:rPr>
            </w:pPr>
            <w:r w:rsidRPr="00FA51DA">
              <w:rPr>
                <w:color w:val="000000"/>
                <w:sz w:val="24"/>
                <w:szCs w:val="24"/>
              </w:rPr>
              <w:t>1</w:t>
            </w:r>
          </w:p>
        </w:tc>
        <w:tc>
          <w:tcPr>
            <w:tcW w:w="597" w:type="pct"/>
          </w:tcPr>
          <w:p w:rsidR="00D94969" w:rsidRPr="00FA51DA" w:rsidRDefault="00D94969" w:rsidP="00574718">
            <w:pPr>
              <w:rPr>
                <w:color w:val="000000"/>
                <w:sz w:val="24"/>
                <w:szCs w:val="24"/>
              </w:rPr>
            </w:pPr>
          </w:p>
        </w:tc>
      </w:tr>
      <w:tr w:rsidR="00D94969" w:rsidRPr="005D6559" w:rsidTr="0091208F">
        <w:trPr>
          <w:trHeight w:val="113"/>
        </w:trPr>
        <w:tc>
          <w:tcPr>
            <w:tcW w:w="586" w:type="pct"/>
          </w:tcPr>
          <w:p w:rsidR="00D94969" w:rsidRPr="005D6559" w:rsidRDefault="00D94969" w:rsidP="00574718">
            <w:pPr>
              <w:pStyle w:val="a4"/>
              <w:rPr>
                <w:rFonts w:ascii="Times New Roman" w:hAnsi="Times New Roman"/>
              </w:rPr>
            </w:pPr>
            <w:r w:rsidRPr="005D6559">
              <w:rPr>
                <w:rFonts w:ascii="Times New Roman" w:hAnsi="Times New Roman"/>
              </w:rPr>
              <w:t>7</w:t>
            </w:r>
          </w:p>
        </w:tc>
        <w:tc>
          <w:tcPr>
            <w:tcW w:w="637" w:type="pct"/>
          </w:tcPr>
          <w:p w:rsidR="00D94969" w:rsidRPr="00FA51DA" w:rsidRDefault="00D94969" w:rsidP="00574718">
            <w:pPr>
              <w:rPr>
                <w:color w:val="000000"/>
                <w:sz w:val="24"/>
                <w:szCs w:val="24"/>
              </w:rPr>
            </w:pPr>
            <w:r w:rsidRPr="00FA51DA">
              <w:rPr>
                <w:color w:val="000000"/>
                <w:sz w:val="24"/>
                <w:szCs w:val="24"/>
              </w:rPr>
              <w:t>0,353</w:t>
            </w:r>
          </w:p>
        </w:tc>
        <w:tc>
          <w:tcPr>
            <w:tcW w:w="637" w:type="pct"/>
          </w:tcPr>
          <w:p w:rsidR="00D94969" w:rsidRPr="00FA51DA" w:rsidRDefault="00D94969" w:rsidP="00574718">
            <w:pPr>
              <w:rPr>
                <w:color w:val="000000"/>
                <w:sz w:val="24"/>
                <w:szCs w:val="24"/>
              </w:rPr>
            </w:pPr>
            <w:r w:rsidRPr="00FA51DA">
              <w:rPr>
                <w:color w:val="000000"/>
                <w:sz w:val="24"/>
                <w:szCs w:val="24"/>
              </w:rPr>
              <w:t>0,2444</w:t>
            </w:r>
          </w:p>
        </w:tc>
        <w:tc>
          <w:tcPr>
            <w:tcW w:w="636" w:type="pct"/>
          </w:tcPr>
          <w:p w:rsidR="00D94969" w:rsidRPr="00FA51DA" w:rsidRDefault="00D94969" w:rsidP="00574718">
            <w:pPr>
              <w:rPr>
                <w:color w:val="000000"/>
                <w:sz w:val="24"/>
                <w:szCs w:val="24"/>
              </w:rPr>
            </w:pPr>
            <w:r w:rsidRPr="00FA51DA">
              <w:rPr>
                <w:color w:val="000000"/>
                <w:sz w:val="24"/>
                <w:szCs w:val="24"/>
              </w:rPr>
              <w:t>0,2422</w:t>
            </w:r>
          </w:p>
        </w:tc>
        <w:tc>
          <w:tcPr>
            <w:tcW w:w="636" w:type="pct"/>
          </w:tcPr>
          <w:p w:rsidR="00D94969" w:rsidRPr="00FA51DA" w:rsidRDefault="00D94969" w:rsidP="00574718">
            <w:pPr>
              <w:rPr>
                <w:color w:val="000000"/>
                <w:sz w:val="24"/>
                <w:szCs w:val="24"/>
              </w:rPr>
            </w:pPr>
            <w:r w:rsidRPr="00FA51DA">
              <w:rPr>
                <w:color w:val="000000"/>
                <w:sz w:val="24"/>
                <w:szCs w:val="24"/>
              </w:rPr>
              <w:t>0,4369</w:t>
            </w:r>
          </w:p>
        </w:tc>
        <w:tc>
          <w:tcPr>
            <w:tcW w:w="636" w:type="pct"/>
          </w:tcPr>
          <w:p w:rsidR="00D94969" w:rsidRPr="00FA51DA" w:rsidRDefault="00D94969" w:rsidP="00574718">
            <w:pPr>
              <w:rPr>
                <w:color w:val="000000"/>
                <w:sz w:val="24"/>
                <w:szCs w:val="24"/>
              </w:rPr>
            </w:pPr>
            <w:r w:rsidRPr="00FA51DA">
              <w:rPr>
                <w:color w:val="000000"/>
                <w:sz w:val="24"/>
                <w:szCs w:val="24"/>
              </w:rPr>
              <w:t>0,2623</w:t>
            </w:r>
          </w:p>
        </w:tc>
        <w:tc>
          <w:tcPr>
            <w:tcW w:w="636" w:type="pct"/>
          </w:tcPr>
          <w:p w:rsidR="00D94969" w:rsidRPr="00FA51DA" w:rsidRDefault="00D94969" w:rsidP="00574718">
            <w:pPr>
              <w:rPr>
                <w:color w:val="000000"/>
                <w:sz w:val="24"/>
                <w:szCs w:val="24"/>
              </w:rPr>
            </w:pPr>
            <w:r w:rsidRPr="00FA51DA">
              <w:rPr>
                <w:color w:val="000000"/>
                <w:sz w:val="24"/>
                <w:szCs w:val="24"/>
              </w:rPr>
              <w:t>-0,6402</w:t>
            </w:r>
          </w:p>
        </w:tc>
        <w:tc>
          <w:tcPr>
            <w:tcW w:w="597" w:type="pct"/>
          </w:tcPr>
          <w:p w:rsidR="00D94969" w:rsidRPr="00FA51DA" w:rsidRDefault="00D94969" w:rsidP="00574718">
            <w:pPr>
              <w:rPr>
                <w:color w:val="000000"/>
                <w:sz w:val="24"/>
                <w:szCs w:val="24"/>
              </w:rPr>
            </w:pPr>
            <w:r w:rsidRPr="00FA51DA">
              <w:rPr>
                <w:color w:val="000000"/>
                <w:sz w:val="24"/>
                <w:szCs w:val="24"/>
              </w:rPr>
              <w:t>1</w:t>
            </w:r>
          </w:p>
        </w:tc>
      </w:tr>
    </w:tbl>
    <w:p w:rsidR="00D94969" w:rsidRDefault="00D94969" w:rsidP="00C052ED">
      <w:pPr>
        <w:pStyle w:val="a4"/>
        <w:spacing w:before="120" w:line="360" w:lineRule="auto"/>
        <w:ind w:firstLine="709"/>
        <w:jc w:val="both"/>
        <w:rPr>
          <w:rFonts w:ascii="Times New Roman" w:hAnsi="Times New Roman"/>
          <w:sz w:val="28"/>
        </w:rPr>
      </w:pPr>
      <w:r w:rsidRPr="00357CF8">
        <w:rPr>
          <w:rFonts w:ascii="Times New Roman" w:hAnsi="Times New Roman"/>
          <w:sz w:val="28"/>
        </w:rPr>
        <w:t>По данным в таблице 2 можно заметить, что примерно половина показателей обладают достаточно сильной взаимозависимостью. В итоге, остаются те показатели, у которых коэффициент корреляции составил ниже 0,7 и которые обладают более сильной предсказательной силой:</w:t>
      </w:r>
      <w:r w:rsidRPr="009028AC">
        <w:rPr>
          <w:rFonts w:ascii="Times New Roman" w:hAnsi="Times New Roman"/>
          <w:sz w:val="28"/>
        </w:rPr>
        <w:t xml:space="preserve"> р</w:t>
      </w:r>
      <w:r>
        <w:rPr>
          <w:rFonts w:ascii="Times New Roman" w:hAnsi="Times New Roman"/>
          <w:sz w:val="28"/>
        </w:rPr>
        <w:t>ентабельность активов, у</w:t>
      </w:r>
      <w:r w:rsidRPr="00357CF8">
        <w:rPr>
          <w:rFonts w:ascii="Times New Roman" w:hAnsi="Times New Roman"/>
          <w:sz w:val="28"/>
        </w:rPr>
        <w:t>дельный вес собственного капитала в совокупном к</w:t>
      </w:r>
      <w:r>
        <w:rPr>
          <w:rFonts w:ascii="Times New Roman" w:hAnsi="Times New Roman"/>
          <w:sz w:val="28"/>
        </w:rPr>
        <w:t>апитале (коэффициент автономии), с</w:t>
      </w:r>
      <w:r w:rsidRPr="00357CF8">
        <w:rPr>
          <w:rFonts w:ascii="Times New Roman" w:hAnsi="Times New Roman"/>
          <w:sz w:val="28"/>
        </w:rPr>
        <w:t>редний срок обор</w:t>
      </w:r>
      <w:r>
        <w:rPr>
          <w:rFonts w:ascii="Times New Roman" w:hAnsi="Times New Roman"/>
          <w:sz w:val="28"/>
        </w:rPr>
        <w:t>ота кредиторской задолженности и о</w:t>
      </w:r>
      <w:r w:rsidRPr="00357CF8">
        <w:rPr>
          <w:rFonts w:ascii="Times New Roman" w:hAnsi="Times New Roman"/>
          <w:sz w:val="28"/>
        </w:rPr>
        <w:t>борачиваемость активов.</w:t>
      </w:r>
    </w:p>
    <w:p w:rsidR="00D94969" w:rsidRPr="000944B2" w:rsidRDefault="00D94969" w:rsidP="00CD2BB6">
      <w:pPr>
        <w:pStyle w:val="a4"/>
        <w:spacing w:line="360" w:lineRule="auto"/>
        <w:ind w:firstLine="709"/>
        <w:jc w:val="both"/>
        <w:rPr>
          <w:rFonts w:ascii="Times New Roman" w:hAnsi="Times New Roman"/>
          <w:sz w:val="28"/>
        </w:rPr>
      </w:pPr>
      <w:r w:rsidRPr="00E06EB0">
        <w:rPr>
          <w:rFonts w:ascii="Times New Roman" w:hAnsi="Times New Roman"/>
          <w:sz w:val="28"/>
        </w:rPr>
        <w:t>Таким образом, на основе отобранных факторов была построена эконометрическая модель (табл.3).</w:t>
      </w:r>
    </w:p>
    <w:p w:rsidR="00D94969" w:rsidRPr="00E06EB0" w:rsidRDefault="00D94969" w:rsidP="0091208F">
      <w:pPr>
        <w:pStyle w:val="a4"/>
        <w:spacing w:before="120"/>
        <w:jc w:val="right"/>
        <w:rPr>
          <w:rFonts w:ascii="Times New Roman" w:hAnsi="Times New Roman"/>
          <w:sz w:val="28"/>
        </w:rPr>
      </w:pPr>
      <w:r w:rsidRPr="00E06EB0">
        <w:rPr>
          <w:rFonts w:ascii="Times New Roman" w:hAnsi="Times New Roman"/>
          <w:sz w:val="28"/>
        </w:rPr>
        <w:t>Таблица 3</w:t>
      </w:r>
    </w:p>
    <w:p w:rsidR="00D94969" w:rsidRDefault="00D94969" w:rsidP="0091208F">
      <w:pPr>
        <w:pStyle w:val="a4"/>
        <w:spacing w:after="120"/>
        <w:jc w:val="center"/>
        <w:rPr>
          <w:rFonts w:ascii="Times New Roman" w:hAnsi="Times New Roman"/>
          <w:b/>
          <w:sz w:val="28"/>
          <w:lang w:val="en-US"/>
        </w:rPr>
      </w:pPr>
      <w:r>
        <w:rPr>
          <w:rFonts w:ascii="Times New Roman" w:hAnsi="Times New Roman"/>
          <w:b/>
          <w:sz w:val="28"/>
        </w:rPr>
        <w:t>Первоначальная</w:t>
      </w:r>
      <w:r w:rsidRPr="00E06EB0">
        <w:rPr>
          <w:rFonts w:ascii="Times New Roman" w:hAnsi="Times New Roman"/>
          <w:b/>
          <w:sz w:val="28"/>
        </w:rPr>
        <w:t xml:space="preserve"> эконометрическая модель</w:t>
      </w:r>
    </w:p>
    <w:p w:rsidR="00D94969" w:rsidRPr="000117E2" w:rsidRDefault="00D94969" w:rsidP="00CD2BB6">
      <w:pPr>
        <w:pStyle w:val="a4"/>
        <w:jc w:val="center"/>
        <w:rPr>
          <w:rFonts w:ascii="Times New Roman" w:hAnsi="Times New Roman"/>
          <w:b/>
          <w:sz w:val="12"/>
          <w:szCs w:val="12"/>
          <w:lang w:val="en-US"/>
        </w:rPr>
      </w:pPr>
    </w:p>
    <w:tbl>
      <w:tblPr>
        <w:tblW w:w="9151" w:type="dxa"/>
        <w:jc w:val="center"/>
        <w:tblInd w:w="108" w:type="dxa"/>
        <w:tblLayout w:type="fixed"/>
        <w:tblLook w:val="00A0" w:firstRow="1" w:lastRow="0" w:firstColumn="1" w:lastColumn="0" w:noHBand="0" w:noVBand="0"/>
      </w:tblPr>
      <w:tblGrid>
        <w:gridCol w:w="3350"/>
        <w:gridCol w:w="1985"/>
        <w:gridCol w:w="1908"/>
        <w:gridCol w:w="1908"/>
      </w:tblGrid>
      <w:tr w:rsidR="00D94969" w:rsidRPr="005D6559" w:rsidTr="0091208F">
        <w:trPr>
          <w:trHeight w:val="290"/>
          <w:jc w:val="center"/>
        </w:trPr>
        <w:tc>
          <w:tcPr>
            <w:tcW w:w="3350" w:type="dxa"/>
            <w:tcBorders>
              <w:top w:val="single" w:sz="4" w:space="0" w:color="auto"/>
              <w:left w:val="single" w:sz="4" w:space="0" w:color="auto"/>
              <w:bottom w:val="single" w:sz="4" w:space="0" w:color="auto"/>
              <w:right w:val="single" w:sz="4" w:space="0" w:color="auto"/>
            </w:tcBorders>
            <w:noWrap/>
          </w:tcPr>
          <w:p w:rsidR="00D94969" w:rsidRPr="00E06EB0" w:rsidRDefault="00D94969" w:rsidP="00574718">
            <w:pPr>
              <w:pStyle w:val="a4"/>
              <w:rPr>
                <w:rFonts w:ascii="Times New Roman" w:hAnsi="Times New Roman"/>
              </w:rPr>
            </w:pPr>
            <w:r w:rsidRPr="00E06EB0">
              <w:rPr>
                <w:rFonts w:ascii="Times New Roman" w:hAnsi="Times New Roman"/>
              </w:rPr>
              <w:t>Переменные</w:t>
            </w:r>
          </w:p>
        </w:tc>
        <w:tc>
          <w:tcPr>
            <w:tcW w:w="1985" w:type="dxa"/>
            <w:tcBorders>
              <w:top w:val="single" w:sz="4" w:space="0" w:color="auto"/>
              <w:left w:val="nil"/>
              <w:bottom w:val="single" w:sz="4" w:space="0" w:color="auto"/>
              <w:right w:val="single" w:sz="4" w:space="0" w:color="auto"/>
            </w:tcBorders>
            <w:noWrap/>
          </w:tcPr>
          <w:p w:rsidR="00D94969" w:rsidRPr="00E06EB0" w:rsidRDefault="00D94969" w:rsidP="00574718">
            <w:pPr>
              <w:pStyle w:val="a4"/>
              <w:rPr>
                <w:rFonts w:ascii="Times New Roman" w:hAnsi="Times New Roman"/>
              </w:rPr>
            </w:pPr>
            <w:r w:rsidRPr="00E06EB0">
              <w:rPr>
                <w:rFonts w:ascii="Times New Roman" w:hAnsi="Times New Roman"/>
              </w:rPr>
              <w:t>Коэффициенты</w:t>
            </w:r>
          </w:p>
        </w:tc>
        <w:tc>
          <w:tcPr>
            <w:tcW w:w="1908" w:type="dxa"/>
            <w:tcBorders>
              <w:top w:val="single" w:sz="4" w:space="0" w:color="auto"/>
              <w:left w:val="nil"/>
              <w:bottom w:val="single" w:sz="4" w:space="0" w:color="auto"/>
              <w:right w:val="single" w:sz="4" w:space="0" w:color="auto"/>
            </w:tcBorders>
            <w:noWrap/>
          </w:tcPr>
          <w:p w:rsidR="00D94969" w:rsidRPr="00E06EB0" w:rsidRDefault="00D94969" w:rsidP="00574718">
            <w:pPr>
              <w:pStyle w:val="a4"/>
              <w:rPr>
                <w:rFonts w:ascii="Times New Roman" w:hAnsi="Times New Roman"/>
              </w:rPr>
            </w:pPr>
            <w:r w:rsidRPr="00E06EB0">
              <w:rPr>
                <w:rFonts w:ascii="Times New Roman" w:hAnsi="Times New Roman"/>
              </w:rPr>
              <w:t>Стандартное отклонение</w:t>
            </w:r>
          </w:p>
        </w:tc>
        <w:tc>
          <w:tcPr>
            <w:tcW w:w="1908" w:type="dxa"/>
            <w:tcBorders>
              <w:top w:val="single" w:sz="4" w:space="0" w:color="auto"/>
              <w:left w:val="nil"/>
              <w:bottom w:val="single" w:sz="4" w:space="0" w:color="auto"/>
              <w:right w:val="single" w:sz="4" w:space="0" w:color="auto"/>
            </w:tcBorders>
          </w:tcPr>
          <w:p w:rsidR="00D94969" w:rsidRPr="00E35D5C" w:rsidRDefault="00D94969" w:rsidP="00574718">
            <w:pPr>
              <w:pStyle w:val="a4"/>
              <w:rPr>
                <w:rFonts w:ascii="Times New Roman" w:hAnsi="Times New Roman"/>
              </w:rPr>
            </w:pPr>
            <w:r>
              <w:rPr>
                <w:rFonts w:ascii="Times New Roman" w:hAnsi="Times New Roman"/>
              </w:rPr>
              <w:t>t-статистика</w:t>
            </w:r>
          </w:p>
        </w:tc>
      </w:tr>
      <w:tr w:rsidR="00D94969" w:rsidRPr="005D6559" w:rsidTr="0091208F">
        <w:trPr>
          <w:trHeight w:val="290"/>
          <w:jc w:val="center"/>
        </w:trPr>
        <w:tc>
          <w:tcPr>
            <w:tcW w:w="3350" w:type="dxa"/>
            <w:tcBorders>
              <w:top w:val="nil"/>
              <w:left w:val="single" w:sz="4" w:space="0" w:color="auto"/>
              <w:bottom w:val="single" w:sz="4" w:space="0" w:color="auto"/>
              <w:right w:val="single" w:sz="4" w:space="0" w:color="auto"/>
            </w:tcBorders>
            <w:noWrap/>
          </w:tcPr>
          <w:p w:rsidR="00D94969" w:rsidRPr="00E06EB0" w:rsidRDefault="00D94969" w:rsidP="00574718">
            <w:pPr>
              <w:pStyle w:val="a4"/>
              <w:rPr>
                <w:rFonts w:ascii="Times New Roman" w:hAnsi="Times New Roman"/>
              </w:rPr>
            </w:pPr>
            <w:r>
              <w:rPr>
                <w:rFonts w:ascii="Times New Roman" w:hAnsi="Times New Roman"/>
              </w:rPr>
              <w:t>Рентабельность активов</w:t>
            </w:r>
          </w:p>
        </w:tc>
        <w:tc>
          <w:tcPr>
            <w:tcW w:w="1985" w:type="dxa"/>
            <w:tcBorders>
              <w:top w:val="nil"/>
              <w:left w:val="nil"/>
              <w:bottom w:val="single" w:sz="4" w:space="0" w:color="auto"/>
              <w:right w:val="single" w:sz="4" w:space="0" w:color="auto"/>
            </w:tcBorders>
            <w:noWrap/>
          </w:tcPr>
          <w:p w:rsidR="00D94969" w:rsidRPr="009028AC" w:rsidRDefault="00D94969" w:rsidP="00574718">
            <w:pPr>
              <w:pStyle w:val="a4"/>
              <w:rPr>
                <w:rFonts w:ascii="Times New Roman" w:hAnsi="Times New Roman"/>
                <w:vertAlign w:val="superscript"/>
              </w:rPr>
            </w:pPr>
            <w:r w:rsidRPr="0009225F">
              <w:rPr>
                <w:rFonts w:ascii="Times New Roman" w:eastAsia="MinionPro-It" w:hAnsi="Times New Roman"/>
                <w:lang w:val="en-US"/>
              </w:rPr>
              <w:t>–</w:t>
            </w:r>
            <w:r w:rsidRPr="0009225F">
              <w:rPr>
                <w:rFonts w:ascii="Times New Roman" w:hAnsi="Times New Roman"/>
              </w:rPr>
              <w:t>0,0578</w:t>
            </w:r>
          </w:p>
        </w:tc>
        <w:tc>
          <w:tcPr>
            <w:tcW w:w="1908" w:type="dxa"/>
            <w:tcBorders>
              <w:top w:val="nil"/>
              <w:left w:val="nil"/>
              <w:bottom w:val="single" w:sz="4" w:space="0" w:color="auto"/>
              <w:right w:val="single" w:sz="4" w:space="0" w:color="auto"/>
            </w:tcBorders>
            <w:noWrap/>
          </w:tcPr>
          <w:p w:rsidR="00D94969" w:rsidRPr="00E06EB0" w:rsidRDefault="00D94969" w:rsidP="00574718">
            <w:pPr>
              <w:pStyle w:val="a4"/>
              <w:rPr>
                <w:rFonts w:ascii="Times New Roman" w:hAnsi="Times New Roman"/>
              </w:rPr>
            </w:pPr>
            <w:r w:rsidRPr="00E06EB0">
              <w:rPr>
                <w:rFonts w:ascii="Times New Roman" w:hAnsi="Times New Roman"/>
              </w:rPr>
              <w:t>0,01</w:t>
            </w:r>
            <w:r>
              <w:rPr>
                <w:rFonts w:ascii="Times New Roman" w:hAnsi="Times New Roman"/>
              </w:rPr>
              <w:t>4</w:t>
            </w:r>
          </w:p>
        </w:tc>
        <w:tc>
          <w:tcPr>
            <w:tcW w:w="1908" w:type="dxa"/>
            <w:tcBorders>
              <w:top w:val="nil"/>
              <w:left w:val="nil"/>
              <w:bottom w:val="single" w:sz="4" w:space="0" w:color="auto"/>
              <w:right w:val="single" w:sz="4" w:space="0" w:color="auto"/>
            </w:tcBorders>
          </w:tcPr>
          <w:p w:rsidR="00D94969" w:rsidRPr="00E06EB0" w:rsidRDefault="00D94969" w:rsidP="00574718">
            <w:pPr>
              <w:pStyle w:val="a4"/>
              <w:rPr>
                <w:rFonts w:ascii="Times New Roman" w:hAnsi="Times New Roman"/>
              </w:rPr>
            </w:pPr>
            <w:r w:rsidRPr="00F80621">
              <w:rPr>
                <w:rFonts w:ascii="Times New Roman" w:eastAsia="MinionPro-It" w:hAnsi="Times New Roman"/>
                <w:lang w:val="en-US"/>
              </w:rPr>
              <w:t>–</w:t>
            </w:r>
            <w:r>
              <w:rPr>
                <w:rFonts w:ascii="Times New Roman" w:hAnsi="Times New Roman"/>
              </w:rPr>
              <w:t>4,14</w:t>
            </w:r>
          </w:p>
        </w:tc>
      </w:tr>
      <w:tr w:rsidR="00D94969" w:rsidRPr="005D6559" w:rsidTr="0091208F">
        <w:trPr>
          <w:trHeight w:val="290"/>
          <w:jc w:val="center"/>
        </w:trPr>
        <w:tc>
          <w:tcPr>
            <w:tcW w:w="3350" w:type="dxa"/>
            <w:tcBorders>
              <w:top w:val="nil"/>
              <w:left w:val="single" w:sz="4" w:space="0" w:color="auto"/>
              <w:bottom w:val="single" w:sz="4" w:space="0" w:color="auto"/>
              <w:right w:val="single" w:sz="4" w:space="0" w:color="auto"/>
            </w:tcBorders>
            <w:noWrap/>
          </w:tcPr>
          <w:p w:rsidR="00D94969" w:rsidRPr="00E06EB0" w:rsidRDefault="00D94969" w:rsidP="00574718">
            <w:pPr>
              <w:pStyle w:val="a4"/>
              <w:rPr>
                <w:rFonts w:ascii="Times New Roman" w:hAnsi="Times New Roman"/>
              </w:rPr>
            </w:pPr>
            <w:r w:rsidRPr="005D6559">
              <w:rPr>
                <w:rFonts w:ascii="Times New Roman" w:hAnsi="Times New Roman"/>
              </w:rPr>
              <w:t>Оборачиваемость активов</w:t>
            </w:r>
          </w:p>
        </w:tc>
        <w:tc>
          <w:tcPr>
            <w:tcW w:w="1985" w:type="dxa"/>
            <w:tcBorders>
              <w:top w:val="nil"/>
              <w:left w:val="nil"/>
              <w:bottom w:val="single" w:sz="4" w:space="0" w:color="auto"/>
              <w:right w:val="single" w:sz="4" w:space="0" w:color="auto"/>
            </w:tcBorders>
            <w:noWrap/>
          </w:tcPr>
          <w:p w:rsidR="00D94969" w:rsidRPr="009028AC" w:rsidRDefault="00D94969" w:rsidP="00574718">
            <w:pPr>
              <w:pStyle w:val="a4"/>
              <w:rPr>
                <w:rFonts w:ascii="Times New Roman" w:hAnsi="Times New Roman"/>
                <w:vertAlign w:val="superscript"/>
              </w:rPr>
            </w:pPr>
            <w:r w:rsidRPr="00F80621">
              <w:rPr>
                <w:rFonts w:ascii="Times New Roman" w:eastAsia="MinionPro-It" w:hAnsi="Times New Roman"/>
                <w:lang w:val="en-US"/>
              </w:rPr>
              <w:t>–</w:t>
            </w:r>
            <w:r>
              <w:rPr>
                <w:rFonts w:ascii="Times New Roman" w:hAnsi="Times New Roman"/>
              </w:rPr>
              <w:t>0,6565</w:t>
            </w:r>
          </w:p>
        </w:tc>
        <w:tc>
          <w:tcPr>
            <w:tcW w:w="1908" w:type="dxa"/>
            <w:tcBorders>
              <w:top w:val="nil"/>
              <w:left w:val="nil"/>
              <w:bottom w:val="single" w:sz="4" w:space="0" w:color="auto"/>
              <w:right w:val="single" w:sz="4" w:space="0" w:color="auto"/>
            </w:tcBorders>
            <w:noWrap/>
          </w:tcPr>
          <w:p w:rsidR="00D94969" w:rsidRPr="00E06EB0" w:rsidRDefault="00D94969" w:rsidP="00574718">
            <w:pPr>
              <w:pStyle w:val="a4"/>
              <w:rPr>
                <w:rFonts w:ascii="Times New Roman" w:hAnsi="Times New Roman"/>
              </w:rPr>
            </w:pPr>
            <w:r w:rsidRPr="00E06EB0">
              <w:rPr>
                <w:rFonts w:ascii="Times New Roman" w:hAnsi="Times New Roman"/>
              </w:rPr>
              <w:t>0,</w:t>
            </w:r>
            <w:r>
              <w:rPr>
                <w:rFonts w:ascii="Times New Roman" w:hAnsi="Times New Roman"/>
              </w:rPr>
              <w:t>161</w:t>
            </w:r>
          </w:p>
        </w:tc>
        <w:tc>
          <w:tcPr>
            <w:tcW w:w="1908" w:type="dxa"/>
            <w:tcBorders>
              <w:top w:val="nil"/>
              <w:left w:val="nil"/>
              <w:bottom w:val="single" w:sz="4" w:space="0" w:color="auto"/>
              <w:right w:val="single" w:sz="4" w:space="0" w:color="auto"/>
            </w:tcBorders>
          </w:tcPr>
          <w:p w:rsidR="00D94969" w:rsidRPr="00E06EB0" w:rsidRDefault="00D94969" w:rsidP="00574718">
            <w:pPr>
              <w:pStyle w:val="a4"/>
              <w:rPr>
                <w:rFonts w:ascii="Times New Roman" w:hAnsi="Times New Roman"/>
              </w:rPr>
            </w:pPr>
            <w:r w:rsidRPr="00F80621">
              <w:rPr>
                <w:rFonts w:ascii="Times New Roman" w:eastAsia="MinionPro-It" w:hAnsi="Times New Roman"/>
                <w:lang w:val="en-US"/>
              </w:rPr>
              <w:t>–</w:t>
            </w:r>
            <w:r>
              <w:rPr>
                <w:rFonts w:ascii="Times New Roman" w:hAnsi="Times New Roman"/>
              </w:rPr>
              <w:t>4,08</w:t>
            </w:r>
          </w:p>
        </w:tc>
      </w:tr>
      <w:tr w:rsidR="00D94969" w:rsidRPr="005D6559" w:rsidTr="0091208F">
        <w:trPr>
          <w:trHeight w:val="290"/>
          <w:jc w:val="center"/>
        </w:trPr>
        <w:tc>
          <w:tcPr>
            <w:tcW w:w="3350" w:type="dxa"/>
            <w:tcBorders>
              <w:top w:val="nil"/>
              <w:left w:val="single" w:sz="4" w:space="0" w:color="auto"/>
              <w:bottom w:val="single" w:sz="4" w:space="0" w:color="auto"/>
              <w:right w:val="single" w:sz="4" w:space="0" w:color="auto"/>
            </w:tcBorders>
            <w:noWrap/>
          </w:tcPr>
          <w:p w:rsidR="00D94969" w:rsidRPr="00E06EB0" w:rsidRDefault="00D94969" w:rsidP="00574718">
            <w:pPr>
              <w:pStyle w:val="a4"/>
              <w:rPr>
                <w:rFonts w:ascii="Times New Roman" w:hAnsi="Times New Roman"/>
              </w:rPr>
            </w:pPr>
            <w:r w:rsidRPr="005D6559">
              <w:rPr>
                <w:rFonts w:ascii="Times New Roman" w:hAnsi="Times New Roman"/>
              </w:rPr>
              <w:t xml:space="preserve">Средний срок оборота кредиторской задолженности </w:t>
            </w:r>
          </w:p>
        </w:tc>
        <w:tc>
          <w:tcPr>
            <w:tcW w:w="1985" w:type="dxa"/>
            <w:tcBorders>
              <w:top w:val="nil"/>
              <w:left w:val="nil"/>
              <w:bottom w:val="single" w:sz="4" w:space="0" w:color="auto"/>
              <w:right w:val="single" w:sz="4" w:space="0" w:color="auto"/>
            </w:tcBorders>
            <w:noWrap/>
          </w:tcPr>
          <w:p w:rsidR="00D94969" w:rsidRPr="00F80621" w:rsidRDefault="00D94969" w:rsidP="00574718">
            <w:pPr>
              <w:pStyle w:val="a4"/>
              <w:rPr>
                <w:rFonts w:ascii="Times New Roman" w:hAnsi="Times New Roman"/>
              </w:rPr>
            </w:pPr>
            <w:r w:rsidRPr="00F80621">
              <w:rPr>
                <w:rFonts w:ascii="Times New Roman" w:eastAsia="MinionPro-It" w:hAnsi="Times New Roman"/>
                <w:lang w:val="en-US"/>
              </w:rPr>
              <w:t>–</w:t>
            </w:r>
            <w:r>
              <w:rPr>
                <w:rFonts w:ascii="Times New Roman" w:hAnsi="Times New Roman"/>
              </w:rPr>
              <w:t>0,0005</w:t>
            </w:r>
          </w:p>
        </w:tc>
        <w:tc>
          <w:tcPr>
            <w:tcW w:w="1908" w:type="dxa"/>
            <w:tcBorders>
              <w:top w:val="nil"/>
              <w:left w:val="nil"/>
              <w:bottom w:val="single" w:sz="4" w:space="0" w:color="auto"/>
              <w:right w:val="single" w:sz="4" w:space="0" w:color="auto"/>
            </w:tcBorders>
            <w:noWrap/>
          </w:tcPr>
          <w:p w:rsidR="00D94969" w:rsidRPr="00E06EB0" w:rsidRDefault="00D94969" w:rsidP="00574718">
            <w:pPr>
              <w:pStyle w:val="a4"/>
              <w:rPr>
                <w:rFonts w:ascii="Times New Roman" w:hAnsi="Times New Roman"/>
              </w:rPr>
            </w:pPr>
            <w:r w:rsidRPr="00E06EB0">
              <w:rPr>
                <w:rFonts w:ascii="Times New Roman" w:hAnsi="Times New Roman"/>
              </w:rPr>
              <w:t>0,</w:t>
            </w:r>
            <w:r>
              <w:rPr>
                <w:rFonts w:ascii="Times New Roman" w:hAnsi="Times New Roman"/>
              </w:rPr>
              <w:t>0005</w:t>
            </w:r>
          </w:p>
        </w:tc>
        <w:tc>
          <w:tcPr>
            <w:tcW w:w="1908" w:type="dxa"/>
            <w:tcBorders>
              <w:top w:val="nil"/>
              <w:left w:val="nil"/>
              <w:bottom w:val="single" w:sz="4" w:space="0" w:color="auto"/>
              <w:right w:val="single" w:sz="4" w:space="0" w:color="auto"/>
            </w:tcBorders>
          </w:tcPr>
          <w:p w:rsidR="00D94969" w:rsidRPr="00E06EB0" w:rsidRDefault="00D94969" w:rsidP="00574718">
            <w:pPr>
              <w:pStyle w:val="a4"/>
              <w:rPr>
                <w:rFonts w:ascii="Times New Roman" w:hAnsi="Times New Roman"/>
              </w:rPr>
            </w:pPr>
            <w:r>
              <w:rPr>
                <w:rFonts w:ascii="Times New Roman" w:hAnsi="Times New Roman"/>
              </w:rPr>
              <w:t>1,07</w:t>
            </w:r>
          </w:p>
        </w:tc>
      </w:tr>
      <w:tr w:rsidR="00D94969" w:rsidRPr="005D6559" w:rsidTr="0091208F">
        <w:trPr>
          <w:trHeight w:val="290"/>
          <w:jc w:val="center"/>
        </w:trPr>
        <w:tc>
          <w:tcPr>
            <w:tcW w:w="3350" w:type="dxa"/>
            <w:tcBorders>
              <w:top w:val="nil"/>
              <w:left w:val="single" w:sz="4" w:space="0" w:color="auto"/>
              <w:bottom w:val="single" w:sz="4" w:space="0" w:color="auto"/>
              <w:right w:val="single" w:sz="4" w:space="0" w:color="auto"/>
            </w:tcBorders>
            <w:noWrap/>
          </w:tcPr>
          <w:p w:rsidR="00D94969" w:rsidRPr="005D6559" w:rsidRDefault="00D94969" w:rsidP="00574718">
            <w:pPr>
              <w:pStyle w:val="a4"/>
              <w:rPr>
                <w:rFonts w:ascii="Times New Roman" w:hAnsi="Times New Roman"/>
              </w:rPr>
            </w:pPr>
            <w:r w:rsidRPr="005D6559">
              <w:rPr>
                <w:rFonts w:ascii="Times New Roman" w:hAnsi="Times New Roman"/>
              </w:rPr>
              <w:t>Коэффициент автономии</w:t>
            </w:r>
          </w:p>
        </w:tc>
        <w:tc>
          <w:tcPr>
            <w:tcW w:w="1985" w:type="dxa"/>
            <w:tcBorders>
              <w:top w:val="nil"/>
              <w:left w:val="nil"/>
              <w:bottom w:val="single" w:sz="4" w:space="0" w:color="auto"/>
              <w:right w:val="single" w:sz="4" w:space="0" w:color="auto"/>
            </w:tcBorders>
            <w:noWrap/>
          </w:tcPr>
          <w:p w:rsidR="00D94969" w:rsidRPr="0009225F" w:rsidRDefault="00D94969" w:rsidP="00574718">
            <w:pPr>
              <w:pStyle w:val="a4"/>
              <w:rPr>
                <w:rFonts w:ascii="Times New Roman" w:eastAsia="MinionPro-It" w:hAnsi="Times New Roman"/>
              </w:rPr>
            </w:pPr>
            <w:r w:rsidRPr="00F80621">
              <w:rPr>
                <w:rFonts w:ascii="Times New Roman" w:eastAsia="MinionPro-It" w:hAnsi="Times New Roman"/>
                <w:lang w:val="en-US"/>
              </w:rPr>
              <w:t>–</w:t>
            </w:r>
            <w:r>
              <w:rPr>
                <w:rFonts w:ascii="Times New Roman" w:eastAsia="MinionPro-It" w:hAnsi="Times New Roman"/>
              </w:rPr>
              <w:t>0,</w:t>
            </w:r>
            <w:r>
              <w:rPr>
                <w:rFonts w:ascii="Times New Roman" w:eastAsia="MinionPro-It" w:hAnsi="Times New Roman"/>
                <w:lang w:val="en-US"/>
              </w:rPr>
              <w:t>0053</w:t>
            </w:r>
          </w:p>
        </w:tc>
        <w:tc>
          <w:tcPr>
            <w:tcW w:w="1908" w:type="dxa"/>
            <w:tcBorders>
              <w:top w:val="nil"/>
              <w:left w:val="nil"/>
              <w:bottom w:val="single" w:sz="4" w:space="0" w:color="auto"/>
              <w:right w:val="single" w:sz="4" w:space="0" w:color="auto"/>
            </w:tcBorders>
            <w:noWrap/>
          </w:tcPr>
          <w:p w:rsidR="00D94969" w:rsidRPr="00E06EB0" w:rsidRDefault="00D94969" w:rsidP="00574718">
            <w:pPr>
              <w:pStyle w:val="a4"/>
              <w:rPr>
                <w:rFonts w:ascii="Times New Roman" w:hAnsi="Times New Roman"/>
              </w:rPr>
            </w:pPr>
            <w:r>
              <w:rPr>
                <w:rFonts w:ascii="Times New Roman" w:hAnsi="Times New Roman"/>
              </w:rPr>
              <w:t>0,005</w:t>
            </w:r>
          </w:p>
        </w:tc>
        <w:tc>
          <w:tcPr>
            <w:tcW w:w="1908" w:type="dxa"/>
            <w:tcBorders>
              <w:top w:val="nil"/>
              <w:left w:val="nil"/>
              <w:bottom w:val="single" w:sz="4" w:space="0" w:color="auto"/>
              <w:right w:val="single" w:sz="4" w:space="0" w:color="auto"/>
            </w:tcBorders>
          </w:tcPr>
          <w:p w:rsidR="00D94969" w:rsidRDefault="00D94969" w:rsidP="00574718">
            <w:pPr>
              <w:pStyle w:val="a4"/>
              <w:rPr>
                <w:rFonts w:ascii="Times New Roman" w:hAnsi="Times New Roman"/>
              </w:rPr>
            </w:pPr>
            <w:r w:rsidRPr="00F80621">
              <w:rPr>
                <w:rFonts w:ascii="Times New Roman" w:eastAsia="MinionPro-It" w:hAnsi="Times New Roman"/>
                <w:lang w:val="en-US"/>
              </w:rPr>
              <w:t>–</w:t>
            </w:r>
            <w:r>
              <w:rPr>
                <w:rFonts w:ascii="Times New Roman" w:hAnsi="Times New Roman"/>
              </w:rPr>
              <w:t>1,09</w:t>
            </w:r>
          </w:p>
        </w:tc>
      </w:tr>
      <w:tr w:rsidR="00D94969" w:rsidRPr="005D6559" w:rsidTr="0091208F">
        <w:trPr>
          <w:trHeight w:val="290"/>
          <w:jc w:val="center"/>
        </w:trPr>
        <w:tc>
          <w:tcPr>
            <w:tcW w:w="3350" w:type="dxa"/>
            <w:tcBorders>
              <w:top w:val="nil"/>
              <w:left w:val="single" w:sz="4" w:space="0" w:color="auto"/>
              <w:bottom w:val="single" w:sz="4" w:space="0" w:color="auto"/>
              <w:right w:val="single" w:sz="4" w:space="0" w:color="auto"/>
            </w:tcBorders>
            <w:noWrap/>
          </w:tcPr>
          <w:p w:rsidR="00D94969" w:rsidRPr="00E06EB0" w:rsidRDefault="00D94969" w:rsidP="00574718">
            <w:pPr>
              <w:pStyle w:val="a4"/>
              <w:rPr>
                <w:rFonts w:ascii="Times New Roman" w:hAnsi="Times New Roman"/>
              </w:rPr>
            </w:pPr>
            <w:r w:rsidRPr="00E06EB0">
              <w:rPr>
                <w:rFonts w:ascii="Times New Roman" w:hAnsi="Times New Roman"/>
              </w:rPr>
              <w:t>Константа</w:t>
            </w:r>
          </w:p>
        </w:tc>
        <w:tc>
          <w:tcPr>
            <w:tcW w:w="1985" w:type="dxa"/>
            <w:tcBorders>
              <w:top w:val="nil"/>
              <w:left w:val="nil"/>
              <w:bottom w:val="single" w:sz="4" w:space="0" w:color="auto"/>
              <w:right w:val="single" w:sz="4" w:space="0" w:color="auto"/>
            </w:tcBorders>
            <w:noWrap/>
          </w:tcPr>
          <w:p w:rsidR="00D94969" w:rsidRPr="0009225F" w:rsidRDefault="00D94969" w:rsidP="00574718">
            <w:pPr>
              <w:pStyle w:val="a4"/>
              <w:rPr>
                <w:rFonts w:ascii="Times New Roman" w:hAnsi="Times New Roman"/>
              </w:rPr>
            </w:pPr>
            <w:r w:rsidRPr="00F80621">
              <w:rPr>
                <w:rFonts w:ascii="Times New Roman" w:eastAsia="MinionPro-It" w:hAnsi="Times New Roman"/>
                <w:lang w:val="en-US"/>
              </w:rPr>
              <w:t>–</w:t>
            </w:r>
            <w:r>
              <w:rPr>
                <w:rFonts w:ascii="Times New Roman" w:eastAsia="MinionPro-It" w:hAnsi="Times New Roman"/>
              </w:rPr>
              <w:t>0,</w:t>
            </w:r>
            <w:r>
              <w:rPr>
                <w:rFonts w:ascii="Times New Roman" w:eastAsia="MinionPro-It" w:hAnsi="Times New Roman"/>
                <w:lang w:val="en-US"/>
              </w:rPr>
              <w:t>0845</w:t>
            </w:r>
          </w:p>
        </w:tc>
        <w:tc>
          <w:tcPr>
            <w:tcW w:w="1908" w:type="dxa"/>
            <w:tcBorders>
              <w:top w:val="nil"/>
              <w:left w:val="nil"/>
              <w:bottom w:val="single" w:sz="4" w:space="0" w:color="auto"/>
              <w:right w:val="single" w:sz="4" w:space="0" w:color="auto"/>
            </w:tcBorders>
            <w:noWrap/>
          </w:tcPr>
          <w:p w:rsidR="00D94969" w:rsidRPr="00E06EB0" w:rsidRDefault="00D94969" w:rsidP="00574718">
            <w:pPr>
              <w:pStyle w:val="a4"/>
              <w:rPr>
                <w:rFonts w:ascii="Times New Roman" w:hAnsi="Times New Roman"/>
              </w:rPr>
            </w:pPr>
            <w:r w:rsidRPr="00E06EB0">
              <w:rPr>
                <w:rFonts w:ascii="Times New Roman" w:hAnsi="Times New Roman"/>
              </w:rPr>
              <w:t>0,</w:t>
            </w:r>
            <w:r>
              <w:rPr>
                <w:rFonts w:ascii="Times New Roman" w:hAnsi="Times New Roman"/>
              </w:rPr>
              <w:t>32</w:t>
            </w:r>
          </w:p>
        </w:tc>
        <w:tc>
          <w:tcPr>
            <w:tcW w:w="1908" w:type="dxa"/>
            <w:tcBorders>
              <w:top w:val="nil"/>
              <w:left w:val="nil"/>
              <w:bottom w:val="single" w:sz="4" w:space="0" w:color="auto"/>
              <w:right w:val="single" w:sz="4" w:space="0" w:color="auto"/>
            </w:tcBorders>
          </w:tcPr>
          <w:p w:rsidR="00D94969" w:rsidRPr="00E35D5C" w:rsidRDefault="00D94969" w:rsidP="00574718">
            <w:pPr>
              <w:pStyle w:val="a4"/>
              <w:rPr>
                <w:rFonts w:ascii="Times New Roman" w:hAnsi="Times New Roman"/>
              </w:rPr>
            </w:pPr>
            <w:r w:rsidRPr="00F80621">
              <w:rPr>
                <w:rFonts w:ascii="Times New Roman" w:eastAsia="MinionPro-It" w:hAnsi="Times New Roman"/>
                <w:lang w:val="en-US"/>
              </w:rPr>
              <w:t>–</w:t>
            </w:r>
            <w:r>
              <w:rPr>
                <w:rFonts w:ascii="Times New Roman" w:eastAsia="MinionPro-It" w:hAnsi="Times New Roman"/>
              </w:rPr>
              <w:t>0,26</w:t>
            </w:r>
          </w:p>
        </w:tc>
      </w:tr>
    </w:tbl>
    <w:p w:rsidR="00D94969" w:rsidRDefault="00D94969" w:rsidP="00C052ED">
      <w:pPr>
        <w:pStyle w:val="a4"/>
        <w:spacing w:before="120" w:line="360" w:lineRule="auto"/>
        <w:ind w:firstLine="709"/>
        <w:jc w:val="both"/>
        <w:rPr>
          <w:rFonts w:ascii="Times New Roman" w:hAnsi="Times New Roman"/>
          <w:sz w:val="28"/>
        </w:rPr>
      </w:pPr>
      <w:r w:rsidRPr="00E06EB0">
        <w:rPr>
          <w:rFonts w:ascii="Times New Roman" w:hAnsi="Times New Roman"/>
          <w:sz w:val="28"/>
        </w:rPr>
        <w:t>Предсказательная способность</w:t>
      </w:r>
      <w:r>
        <w:rPr>
          <w:rFonts w:ascii="Times New Roman" w:hAnsi="Times New Roman"/>
          <w:sz w:val="28"/>
        </w:rPr>
        <w:t xml:space="preserve"> данной</w:t>
      </w:r>
      <w:r w:rsidRPr="00E06EB0">
        <w:rPr>
          <w:rFonts w:ascii="Times New Roman" w:hAnsi="Times New Roman"/>
          <w:sz w:val="28"/>
        </w:rPr>
        <w:t xml:space="preserve"> модели представлена на хорошем уровне, так как площадь криволинейной трапеции под </w:t>
      </w:r>
      <w:r w:rsidRPr="00E06EB0">
        <w:rPr>
          <w:rFonts w:ascii="Times New Roman" w:hAnsi="Times New Roman"/>
          <w:sz w:val="28"/>
          <w:lang w:val="en-US"/>
        </w:rPr>
        <w:t>ROC</w:t>
      </w:r>
      <w:r>
        <w:rPr>
          <w:rFonts w:ascii="Times New Roman" w:hAnsi="Times New Roman"/>
          <w:sz w:val="28"/>
        </w:rPr>
        <w:t xml:space="preserve">-кривой составила </w:t>
      </w:r>
      <w:r>
        <w:rPr>
          <w:rFonts w:ascii="Times New Roman" w:hAnsi="Times New Roman"/>
          <w:sz w:val="28"/>
        </w:rPr>
        <w:lastRenderedPageBreak/>
        <w:t xml:space="preserve">0,8314, однако, необходимо проверить, возможно ли улучшить характеристики модели с помощью учета </w:t>
      </w:r>
      <w:proofErr w:type="spellStart"/>
      <w:r>
        <w:rPr>
          <w:rFonts w:ascii="Times New Roman" w:hAnsi="Times New Roman"/>
          <w:sz w:val="28"/>
        </w:rPr>
        <w:t>подотраслевых</w:t>
      </w:r>
      <w:proofErr w:type="spellEnd"/>
      <w:r>
        <w:rPr>
          <w:rFonts w:ascii="Times New Roman" w:hAnsi="Times New Roman"/>
          <w:sz w:val="28"/>
        </w:rPr>
        <w:t xml:space="preserve"> особенностей функционирования компаний</w:t>
      </w:r>
      <w:r w:rsidRPr="00E06EB0">
        <w:rPr>
          <w:rFonts w:ascii="Times New Roman" w:hAnsi="Times New Roman"/>
          <w:sz w:val="28"/>
        </w:rPr>
        <w:t>.</w:t>
      </w:r>
    </w:p>
    <w:p w:rsidR="00D94969" w:rsidRPr="000944B2" w:rsidRDefault="00D94969" w:rsidP="00CD2BB6">
      <w:pPr>
        <w:pStyle w:val="a4"/>
        <w:spacing w:line="360" w:lineRule="auto"/>
        <w:ind w:firstLine="709"/>
        <w:jc w:val="both"/>
        <w:rPr>
          <w:rFonts w:ascii="Times New Roman" w:hAnsi="Times New Roman"/>
          <w:sz w:val="12"/>
          <w:szCs w:val="12"/>
        </w:rPr>
      </w:pPr>
      <w:r>
        <w:rPr>
          <w:rFonts w:ascii="Times New Roman" w:hAnsi="Times New Roman"/>
          <w:sz w:val="28"/>
        </w:rPr>
        <w:t xml:space="preserve">В сформированной выборке представлены компании 8 </w:t>
      </w:r>
      <w:proofErr w:type="spellStart"/>
      <w:r>
        <w:rPr>
          <w:rFonts w:ascii="Times New Roman" w:hAnsi="Times New Roman"/>
          <w:sz w:val="28"/>
        </w:rPr>
        <w:t>подотраслей</w:t>
      </w:r>
      <w:proofErr w:type="spellEnd"/>
      <w:r>
        <w:rPr>
          <w:rFonts w:ascii="Times New Roman" w:hAnsi="Times New Roman"/>
          <w:sz w:val="28"/>
        </w:rPr>
        <w:t xml:space="preserve"> пищевой промышленности: п</w:t>
      </w:r>
      <w:r w:rsidRPr="00980E32">
        <w:rPr>
          <w:rFonts w:ascii="Times New Roman" w:hAnsi="Times New Roman"/>
          <w:sz w:val="28"/>
        </w:rPr>
        <w:t>роизводство мяса и мясопродуктов</w:t>
      </w:r>
      <w:r>
        <w:rPr>
          <w:rFonts w:ascii="Times New Roman" w:hAnsi="Times New Roman"/>
          <w:sz w:val="28"/>
        </w:rPr>
        <w:t xml:space="preserve"> (1), п</w:t>
      </w:r>
      <w:r w:rsidRPr="00980E32">
        <w:rPr>
          <w:rFonts w:ascii="Times New Roman" w:hAnsi="Times New Roman"/>
          <w:sz w:val="28"/>
        </w:rPr>
        <w:t xml:space="preserve">ереработка и консервирование </w:t>
      </w:r>
      <w:proofErr w:type="spellStart"/>
      <w:r w:rsidRPr="00980E32">
        <w:rPr>
          <w:rFonts w:ascii="Times New Roman" w:hAnsi="Times New Roman"/>
          <w:sz w:val="28"/>
        </w:rPr>
        <w:t>рыбо</w:t>
      </w:r>
      <w:proofErr w:type="spellEnd"/>
      <w:r w:rsidRPr="00980E32">
        <w:rPr>
          <w:rFonts w:ascii="Times New Roman" w:hAnsi="Times New Roman"/>
          <w:sz w:val="28"/>
        </w:rPr>
        <w:t>- и морепродуктов</w:t>
      </w:r>
      <w:r>
        <w:rPr>
          <w:rFonts w:ascii="Times New Roman" w:hAnsi="Times New Roman"/>
          <w:sz w:val="28"/>
        </w:rPr>
        <w:t xml:space="preserve"> (2), п</w:t>
      </w:r>
      <w:r w:rsidRPr="00980E32">
        <w:rPr>
          <w:rFonts w:ascii="Times New Roman" w:hAnsi="Times New Roman"/>
          <w:sz w:val="28"/>
        </w:rPr>
        <w:t>ереработка и консервирование картофеля, фруктов и овощей</w:t>
      </w:r>
      <w:r>
        <w:rPr>
          <w:rFonts w:ascii="Times New Roman" w:hAnsi="Times New Roman"/>
          <w:sz w:val="28"/>
        </w:rPr>
        <w:t xml:space="preserve"> (3), п</w:t>
      </w:r>
      <w:r w:rsidRPr="00980E32">
        <w:rPr>
          <w:rFonts w:ascii="Times New Roman" w:hAnsi="Times New Roman"/>
          <w:sz w:val="28"/>
        </w:rPr>
        <w:t>роизводство растительных и животных масел и жиров</w:t>
      </w:r>
      <w:r>
        <w:rPr>
          <w:rFonts w:ascii="Times New Roman" w:hAnsi="Times New Roman"/>
          <w:sz w:val="28"/>
        </w:rPr>
        <w:t xml:space="preserve"> (4), п</w:t>
      </w:r>
      <w:r w:rsidRPr="00980E32">
        <w:rPr>
          <w:rFonts w:ascii="Times New Roman" w:hAnsi="Times New Roman"/>
          <w:sz w:val="28"/>
        </w:rPr>
        <w:t>роизводство молочных продуктов</w:t>
      </w:r>
      <w:r>
        <w:rPr>
          <w:rFonts w:ascii="Times New Roman" w:hAnsi="Times New Roman"/>
          <w:sz w:val="28"/>
        </w:rPr>
        <w:t xml:space="preserve"> (5), п</w:t>
      </w:r>
      <w:r w:rsidRPr="00980E32">
        <w:rPr>
          <w:rFonts w:ascii="Times New Roman" w:hAnsi="Times New Roman"/>
          <w:sz w:val="28"/>
        </w:rPr>
        <w:t xml:space="preserve">роизводство продуктов мукомольно-крупяной промышленности, крахмалов и </w:t>
      </w:r>
      <w:proofErr w:type="spellStart"/>
      <w:r w:rsidRPr="00980E32">
        <w:rPr>
          <w:rFonts w:ascii="Times New Roman" w:hAnsi="Times New Roman"/>
          <w:sz w:val="28"/>
        </w:rPr>
        <w:t>крахмалопродуктов</w:t>
      </w:r>
      <w:proofErr w:type="spellEnd"/>
      <w:r>
        <w:rPr>
          <w:rFonts w:ascii="Times New Roman" w:hAnsi="Times New Roman"/>
          <w:sz w:val="28"/>
        </w:rPr>
        <w:t xml:space="preserve"> (6), п</w:t>
      </w:r>
      <w:r w:rsidRPr="00980E32">
        <w:rPr>
          <w:rFonts w:ascii="Times New Roman" w:hAnsi="Times New Roman"/>
          <w:sz w:val="28"/>
        </w:rPr>
        <w:t>роизводство прочих пищевых продуктов</w:t>
      </w:r>
      <w:r>
        <w:rPr>
          <w:rFonts w:ascii="Times New Roman" w:hAnsi="Times New Roman"/>
          <w:sz w:val="28"/>
        </w:rPr>
        <w:t xml:space="preserve"> (7), п</w:t>
      </w:r>
      <w:r w:rsidRPr="00980E32">
        <w:rPr>
          <w:rFonts w:ascii="Times New Roman" w:hAnsi="Times New Roman"/>
          <w:sz w:val="28"/>
        </w:rPr>
        <w:t>роизводство напитков</w:t>
      </w:r>
      <w:r>
        <w:rPr>
          <w:rFonts w:ascii="Times New Roman" w:hAnsi="Times New Roman"/>
          <w:sz w:val="28"/>
        </w:rPr>
        <w:t xml:space="preserve"> (8). В данном исследовании предполагается, что влияние определенного финансового коэффициента на вероятность дефолта может меняться в зависимости от того, к какой </w:t>
      </w:r>
      <w:proofErr w:type="spellStart"/>
      <w:r>
        <w:rPr>
          <w:rFonts w:ascii="Times New Roman" w:hAnsi="Times New Roman"/>
          <w:sz w:val="28"/>
        </w:rPr>
        <w:t>подотрасли</w:t>
      </w:r>
      <w:proofErr w:type="spellEnd"/>
      <w:r>
        <w:rPr>
          <w:rFonts w:ascii="Times New Roman" w:hAnsi="Times New Roman"/>
          <w:sz w:val="28"/>
        </w:rPr>
        <w:t xml:space="preserve"> принадлежит предприятие (табл. 4), поэтому учет </w:t>
      </w:r>
      <w:proofErr w:type="spellStart"/>
      <w:r>
        <w:rPr>
          <w:rFonts w:ascii="Times New Roman" w:hAnsi="Times New Roman"/>
          <w:sz w:val="28"/>
        </w:rPr>
        <w:t>подотраслевых</w:t>
      </w:r>
      <w:proofErr w:type="spellEnd"/>
      <w:r>
        <w:rPr>
          <w:rFonts w:ascii="Times New Roman" w:hAnsi="Times New Roman"/>
          <w:sz w:val="28"/>
        </w:rPr>
        <w:t xml:space="preserve"> эффектов производится следующим образом: в базовое уравнение добавляются те же переменные, которые помножены на бинарные переменные, характеризующие </w:t>
      </w:r>
      <w:proofErr w:type="spellStart"/>
      <w:r>
        <w:rPr>
          <w:rFonts w:ascii="Times New Roman" w:hAnsi="Times New Roman"/>
          <w:sz w:val="28"/>
        </w:rPr>
        <w:t>подотраслевую</w:t>
      </w:r>
      <w:proofErr w:type="spellEnd"/>
      <w:r>
        <w:rPr>
          <w:rFonts w:ascii="Times New Roman" w:hAnsi="Times New Roman"/>
          <w:sz w:val="28"/>
        </w:rPr>
        <w:t xml:space="preserve"> принадлежность компании. Таким образом, значение коэффициента при финансовом показателе изменяется в зависимости от того, к какой отрасли относится рассматриваемое предприятие. Отбор описанных выше переменных производится с помощью LR-теста.</w:t>
      </w:r>
    </w:p>
    <w:p w:rsidR="00D94969" w:rsidRPr="00E06EB0" w:rsidRDefault="00D94969" w:rsidP="0091208F">
      <w:pPr>
        <w:pStyle w:val="a4"/>
        <w:spacing w:before="120"/>
        <w:jc w:val="right"/>
        <w:rPr>
          <w:rFonts w:ascii="Times New Roman" w:hAnsi="Times New Roman"/>
          <w:sz w:val="28"/>
        </w:rPr>
      </w:pPr>
      <w:r>
        <w:rPr>
          <w:rFonts w:ascii="Times New Roman" w:hAnsi="Times New Roman"/>
          <w:sz w:val="28"/>
        </w:rPr>
        <w:t>Таблица 4</w:t>
      </w:r>
    </w:p>
    <w:p w:rsidR="00D94969" w:rsidRPr="007734CC" w:rsidRDefault="00D94969" w:rsidP="0091208F">
      <w:pPr>
        <w:pStyle w:val="a4"/>
        <w:spacing w:after="120"/>
        <w:jc w:val="center"/>
        <w:rPr>
          <w:rFonts w:ascii="Times New Roman" w:hAnsi="Times New Roman"/>
          <w:b/>
          <w:sz w:val="28"/>
        </w:rPr>
      </w:pPr>
      <w:r>
        <w:rPr>
          <w:rFonts w:ascii="Times New Roman" w:hAnsi="Times New Roman"/>
          <w:b/>
          <w:sz w:val="28"/>
        </w:rPr>
        <w:t xml:space="preserve">Вариация площади под </w:t>
      </w:r>
      <w:r>
        <w:rPr>
          <w:rFonts w:ascii="Times New Roman" w:hAnsi="Times New Roman"/>
          <w:b/>
          <w:sz w:val="28"/>
          <w:lang w:val="en-US"/>
        </w:rPr>
        <w:t>ROC</w:t>
      </w:r>
      <w:r w:rsidRPr="00CD2BB6">
        <w:rPr>
          <w:rFonts w:ascii="Times New Roman" w:hAnsi="Times New Roman"/>
          <w:b/>
          <w:sz w:val="28"/>
        </w:rPr>
        <w:t>-</w:t>
      </w:r>
      <w:r>
        <w:rPr>
          <w:rFonts w:ascii="Times New Roman" w:hAnsi="Times New Roman"/>
          <w:b/>
          <w:sz w:val="28"/>
        </w:rPr>
        <w:t xml:space="preserve">кривой у показателя рентабельности активов в зависимости от рассматриваемой </w:t>
      </w:r>
      <w:proofErr w:type="spellStart"/>
      <w:r>
        <w:rPr>
          <w:rFonts w:ascii="Times New Roman" w:hAnsi="Times New Roman"/>
          <w:b/>
          <w:sz w:val="28"/>
        </w:rPr>
        <w:t>подотрасли</w:t>
      </w:r>
      <w:proofErr w:type="spellEnd"/>
    </w:p>
    <w:p w:rsidR="00D94969" w:rsidRPr="00CD2BB6" w:rsidRDefault="00D94969" w:rsidP="00CD2BB6">
      <w:pPr>
        <w:pStyle w:val="a4"/>
        <w:jc w:val="center"/>
        <w:rPr>
          <w:rFonts w:ascii="Times New Roman" w:hAnsi="Times New Roman"/>
          <w:b/>
          <w:sz w:val="12"/>
          <w:szCs w:val="12"/>
        </w:rPr>
      </w:pPr>
    </w:p>
    <w:tbl>
      <w:tblPr>
        <w:tblW w:w="0" w:type="auto"/>
        <w:tblInd w:w="108" w:type="dxa"/>
        <w:tblLook w:val="00A0" w:firstRow="1" w:lastRow="0" w:firstColumn="1" w:lastColumn="0" w:noHBand="0" w:noVBand="0"/>
      </w:tblPr>
      <w:tblGrid>
        <w:gridCol w:w="2943"/>
        <w:gridCol w:w="636"/>
        <w:gridCol w:w="876"/>
        <w:gridCol w:w="876"/>
        <w:gridCol w:w="876"/>
        <w:gridCol w:w="876"/>
        <w:gridCol w:w="876"/>
        <w:gridCol w:w="876"/>
        <w:gridCol w:w="876"/>
      </w:tblGrid>
      <w:tr w:rsidR="00D94969" w:rsidRPr="005D6559" w:rsidTr="00574718">
        <w:trPr>
          <w:trHeight w:val="290"/>
        </w:trPr>
        <w:tc>
          <w:tcPr>
            <w:tcW w:w="0" w:type="auto"/>
            <w:tcBorders>
              <w:top w:val="single" w:sz="4" w:space="0" w:color="auto"/>
              <w:left w:val="single" w:sz="4" w:space="0" w:color="auto"/>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Pr>
                <w:rFonts w:ascii="Times New Roman" w:hAnsi="Times New Roman"/>
              </w:rPr>
              <w:t>Отрасль</w:t>
            </w:r>
          </w:p>
        </w:tc>
        <w:tc>
          <w:tcPr>
            <w:tcW w:w="0" w:type="auto"/>
            <w:tcBorders>
              <w:top w:val="single" w:sz="4" w:space="0" w:color="auto"/>
              <w:left w:val="nil"/>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Pr>
                <w:rFonts w:ascii="Times New Roman" w:hAnsi="Times New Roman"/>
              </w:rPr>
              <w:t>1</w:t>
            </w:r>
          </w:p>
        </w:tc>
        <w:tc>
          <w:tcPr>
            <w:tcW w:w="0" w:type="auto"/>
            <w:tcBorders>
              <w:top w:val="single" w:sz="4" w:space="0" w:color="auto"/>
              <w:left w:val="nil"/>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Pr>
                <w:rFonts w:ascii="Times New Roman" w:hAnsi="Times New Roman"/>
              </w:rPr>
              <w:t>2</w:t>
            </w:r>
          </w:p>
        </w:tc>
        <w:tc>
          <w:tcPr>
            <w:tcW w:w="0" w:type="auto"/>
            <w:tcBorders>
              <w:top w:val="single" w:sz="4" w:space="0" w:color="auto"/>
              <w:left w:val="nil"/>
              <w:bottom w:val="single" w:sz="4" w:space="0" w:color="auto"/>
              <w:right w:val="single" w:sz="4" w:space="0" w:color="auto"/>
            </w:tcBorders>
            <w:vAlign w:val="bottom"/>
          </w:tcPr>
          <w:p w:rsidR="00D94969" w:rsidRPr="00E35D5C" w:rsidRDefault="00D94969" w:rsidP="00574718">
            <w:pPr>
              <w:pStyle w:val="a4"/>
              <w:rPr>
                <w:rFonts w:ascii="Times New Roman" w:hAnsi="Times New Roman"/>
              </w:rPr>
            </w:pPr>
            <w:r>
              <w:rPr>
                <w:rFonts w:ascii="Times New Roman" w:hAnsi="Times New Roman"/>
              </w:rPr>
              <w:t>3</w:t>
            </w:r>
          </w:p>
        </w:tc>
        <w:tc>
          <w:tcPr>
            <w:tcW w:w="0" w:type="auto"/>
            <w:tcBorders>
              <w:top w:val="single" w:sz="4" w:space="0" w:color="auto"/>
              <w:left w:val="nil"/>
              <w:bottom w:val="single" w:sz="4" w:space="0" w:color="auto"/>
              <w:right w:val="single" w:sz="4" w:space="0" w:color="auto"/>
            </w:tcBorders>
          </w:tcPr>
          <w:p w:rsidR="00D94969" w:rsidRDefault="00D94969" w:rsidP="00574718">
            <w:pPr>
              <w:pStyle w:val="a4"/>
              <w:rPr>
                <w:rFonts w:ascii="Times New Roman" w:hAnsi="Times New Roman"/>
              </w:rPr>
            </w:pPr>
            <w:r>
              <w:rPr>
                <w:rFonts w:ascii="Times New Roman" w:hAnsi="Times New Roman"/>
              </w:rPr>
              <w:t>4</w:t>
            </w:r>
          </w:p>
        </w:tc>
        <w:tc>
          <w:tcPr>
            <w:tcW w:w="0" w:type="auto"/>
            <w:tcBorders>
              <w:top w:val="single" w:sz="4" w:space="0" w:color="auto"/>
              <w:left w:val="nil"/>
              <w:bottom w:val="single" w:sz="4" w:space="0" w:color="auto"/>
              <w:right w:val="single" w:sz="4" w:space="0" w:color="auto"/>
            </w:tcBorders>
          </w:tcPr>
          <w:p w:rsidR="00D94969" w:rsidRDefault="00D94969" w:rsidP="00574718">
            <w:pPr>
              <w:pStyle w:val="a4"/>
              <w:rPr>
                <w:rFonts w:ascii="Times New Roman" w:hAnsi="Times New Roman"/>
              </w:rPr>
            </w:pPr>
            <w:r>
              <w:rPr>
                <w:rFonts w:ascii="Times New Roman" w:hAnsi="Times New Roman"/>
              </w:rPr>
              <w:t>5</w:t>
            </w:r>
          </w:p>
        </w:tc>
        <w:tc>
          <w:tcPr>
            <w:tcW w:w="0" w:type="auto"/>
            <w:tcBorders>
              <w:top w:val="single" w:sz="4" w:space="0" w:color="auto"/>
              <w:left w:val="nil"/>
              <w:bottom w:val="single" w:sz="4" w:space="0" w:color="auto"/>
              <w:right w:val="single" w:sz="4" w:space="0" w:color="auto"/>
            </w:tcBorders>
          </w:tcPr>
          <w:p w:rsidR="00D94969" w:rsidRDefault="00D94969" w:rsidP="00574718">
            <w:pPr>
              <w:pStyle w:val="a4"/>
              <w:rPr>
                <w:rFonts w:ascii="Times New Roman" w:hAnsi="Times New Roman"/>
              </w:rPr>
            </w:pPr>
            <w:r>
              <w:rPr>
                <w:rFonts w:ascii="Times New Roman" w:hAnsi="Times New Roman"/>
              </w:rPr>
              <w:t>6</w:t>
            </w:r>
          </w:p>
        </w:tc>
        <w:tc>
          <w:tcPr>
            <w:tcW w:w="0" w:type="auto"/>
            <w:tcBorders>
              <w:top w:val="single" w:sz="4" w:space="0" w:color="auto"/>
              <w:left w:val="nil"/>
              <w:bottom w:val="single" w:sz="4" w:space="0" w:color="auto"/>
              <w:right w:val="single" w:sz="4" w:space="0" w:color="auto"/>
            </w:tcBorders>
          </w:tcPr>
          <w:p w:rsidR="00D94969" w:rsidRDefault="00D94969" w:rsidP="00574718">
            <w:pPr>
              <w:pStyle w:val="a4"/>
              <w:rPr>
                <w:rFonts w:ascii="Times New Roman" w:hAnsi="Times New Roman"/>
              </w:rPr>
            </w:pPr>
            <w:r>
              <w:rPr>
                <w:rFonts w:ascii="Times New Roman" w:hAnsi="Times New Roman"/>
              </w:rPr>
              <w:t>7</w:t>
            </w:r>
          </w:p>
        </w:tc>
        <w:tc>
          <w:tcPr>
            <w:tcW w:w="0" w:type="auto"/>
            <w:tcBorders>
              <w:top w:val="single" w:sz="4" w:space="0" w:color="auto"/>
              <w:left w:val="nil"/>
              <w:bottom w:val="single" w:sz="4" w:space="0" w:color="auto"/>
              <w:right w:val="single" w:sz="4" w:space="0" w:color="auto"/>
            </w:tcBorders>
          </w:tcPr>
          <w:p w:rsidR="00D94969" w:rsidRDefault="00D94969" w:rsidP="00574718">
            <w:pPr>
              <w:pStyle w:val="a4"/>
              <w:rPr>
                <w:rFonts w:ascii="Times New Roman" w:hAnsi="Times New Roman"/>
              </w:rPr>
            </w:pPr>
            <w:r>
              <w:rPr>
                <w:rFonts w:ascii="Times New Roman" w:hAnsi="Times New Roman"/>
              </w:rPr>
              <w:t>8</w:t>
            </w:r>
          </w:p>
        </w:tc>
      </w:tr>
      <w:tr w:rsidR="00D94969" w:rsidRPr="005D6559" w:rsidTr="00574718">
        <w:trPr>
          <w:trHeight w:val="290"/>
        </w:trPr>
        <w:tc>
          <w:tcPr>
            <w:tcW w:w="0" w:type="auto"/>
            <w:tcBorders>
              <w:top w:val="nil"/>
              <w:left w:val="single" w:sz="4" w:space="0" w:color="auto"/>
              <w:bottom w:val="single" w:sz="4" w:space="0" w:color="auto"/>
              <w:right w:val="single" w:sz="4" w:space="0" w:color="auto"/>
            </w:tcBorders>
            <w:noWrap/>
            <w:vAlign w:val="bottom"/>
          </w:tcPr>
          <w:p w:rsidR="00D94969" w:rsidRPr="00EA4BD0" w:rsidRDefault="00D94969" w:rsidP="00574718">
            <w:pPr>
              <w:pStyle w:val="a4"/>
              <w:rPr>
                <w:rFonts w:ascii="Times New Roman" w:hAnsi="Times New Roman"/>
              </w:rPr>
            </w:pPr>
            <w:r>
              <w:rPr>
                <w:rFonts w:ascii="Times New Roman" w:hAnsi="Times New Roman"/>
              </w:rPr>
              <w:t xml:space="preserve">Площадь под </w:t>
            </w:r>
            <w:r>
              <w:rPr>
                <w:rFonts w:ascii="Times New Roman" w:hAnsi="Times New Roman"/>
                <w:lang w:val="en-US"/>
              </w:rPr>
              <w:t>ROC-</w:t>
            </w:r>
            <w:r>
              <w:rPr>
                <w:rFonts w:ascii="Times New Roman" w:hAnsi="Times New Roman"/>
              </w:rPr>
              <w:t>кривой</w:t>
            </w:r>
          </w:p>
        </w:tc>
        <w:tc>
          <w:tcPr>
            <w:tcW w:w="0" w:type="auto"/>
            <w:tcBorders>
              <w:top w:val="nil"/>
              <w:left w:val="nil"/>
              <w:bottom w:val="single" w:sz="4" w:space="0" w:color="auto"/>
              <w:right w:val="single" w:sz="4" w:space="0" w:color="auto"/>
            </w:tcBorders>
            <w:noWrap/>
            <w:vAlign w:val="bottom"/>
          </w:tcPr>
          <w:p w:rsidR="00D94969" w:rsidRPr="00FA51DA" w:rsidRDefault="00D94969" w:rsidP="00574718">
            <w:pPr>
              <w:pStyle w:val="a4"/>
              <w:rPr>
                <w:rFonts w:ascii="Times New Roman" w:hAnsi="Times New Roman"/>
                <w:vertAlign w:val="superscript"/>
                <w:lang w:val="en-US"/>
              </w:rPr>
            </w:pPr>
            <w:r>
              <w:rPr>
                <w:rFonts w:ascii="Times New Roman" w:hAnsi="Times New Roman"/>
                <w:color w:val="000000"/>
                <w:szCs w:val="22"/>
              </w:rPr>
              <w:t>0,96</w:t>
            </w:r>
          </w:p>
        </w:tc>
        <w:tc>
          <w:tcPr>
            <w:tcW w:w="0" w:type="auto"/>
            <w:tcBorders>
              <w:top w:val="nil"/>
              <w:left w:val="nil"/>
              <w:bottom w:val="single" w:sz="4" w:space="0" w:color="auto"/>
              <w:right w:val="single" w:sz="4" w:space="0" w:color="auto"/>
            </w:tcBorders>
            <w:noWrap/>
            <w:vAlign w:val="bottom"/>
          </w:tcPr>
          <w:p w:rsidR="00D94969" w:rsidRPr="00AC7BE0" w:rsidRDefault="00D94969" w:rsidP="00574718">
            <w:pPr>
              <w:pStyle w:val="a4"/>
              <w:rPr>
                <w:rFonts w:ascii="Times New Roman" w:hAnsi="Times New Roman"/>
                <w:lang w:val="en-US"/>
              </w:rPr>
            </w:pPr>
            <w:r w:rsidRPr="007734CC">
              <w:rPr>
                <w:rFonts w:ascii="Times New Roman" w:hAnsi="Times New Roman"/>
                <w:color w:val="000000"/>
                <w:szCs w:val="22"/>
              </w:rPr>
              <w:t>0,</w:t>
            </w:r>
            <w:r>
              <w:rPr>
                <w:rFonts w:ascii="Times New Roman" w:hAnsi="Times New Roman"/>
                <w:color w:val="000000"/>
                <w:szCs w:val="22"/>
                <w:lang w:val="en-US"/>
              </w:rPr>
              <w:t>8194</w:t>
            </w:r>
          </w:p>
        </w:tc>
        <w:tc>
          <w:tcPr>
            <w:tcW w:w="0" w:type="auto"/>
            <w:tcBorders>
              <w:top w:val="nil"/>
              <w:left w:val="nil"/>
              <w:bottom w:val="single" w:sz="4" w:space="0" w:color="auto"/>
              <w:right w:val="single" w:sz="4" w:space="0" w:color="auto"/>
            </w:tcBorders>
            <w:vAlign w:val="bottom"/>
          </w:tcPr>
          <w:p w:rsidR="00D94969" w:rsidRPr="00AC7BE0" w:rsidRDefault="00D94969" w:rsidP="00574718">
            <w:pPr>
              <w:pStyle w:val="a4"/>
              <w:rPr>
                <w:rFonts w:ascii="Times New Roman" w:hAnsi="Times New Roman"/>
                <w:lang w:val="en-US"/>
              </w:rPr>
            </w:pPr>
            <w:r w:rsidRPr="007734CC">
              <w:rPr>
                <w:rFonts w:ascii="Times New Roman" w:hAnsi="Times New Roman"/>
                <w:color w:val="000000"/>
                <w:szCs w:val="22"/>
              </w:rPr>
              <w:t>0,</w:t>
            </w:r>
            <w:r>
              <w:rPr>
                <w:rFonts w:ascii="Times New Roman" w:hAnsi="Times New Roman"/>
                <w:color w:val="000000"/>
                <w:szCs w:val="22"/>
                <w:lang w:val="en-US"/>
              </w:rPr>
              <w:t>9446</w:t>
            </w:r>
          </w:p>
        </w:tc>
        <w:tc>
          <w:tcPr>
            <w:tcW w:w="0" w:type="auto"/>
            <w:tcBorders>
              <w:top w:val="nil"/>
              <w:left w:val="nil"/>
              <w:bottom w:val="single" w:sz="4" w:space="0" w:color="auto"/>
              <w:right w:val="single" w:sz="4" w:space="0" w:color="auto"/>
            </w:tcBorders>
            <w:vAlign w:val="bottom"/>
          </w:tcPr>
          <w:p w:rsidR="00D94969" w:rsidRPr="00AC7BE0" w:rsidRDefault="00D94969" w:rsidP="00574718">
            <w:pPr>
              <w:pStyle w:val="a4"/>
              <w:rPr>
                <w:rFonts w:ascii="Times New Roman" w:hAnsi="Times New Roman"/>
                <w:lang w:val="en-US"/>
              </w:rPr>
            </w:pPr>
            <w:r w:rsidRPr="007734CC">
              <w:rPr>
                <w:rFonts w:ascii="Times New Roman" w:hAnsi="Times New Roman"/>
                <w:color w:val="000000"/>
                <w:szCs w:val="22"/>
              </w:rPr>
              <w:t>0,</w:t>
            </w:r>
            <w:r>
              <w:rPr>
                <w:rFonts w:ascii="Times New Roman" w:hAnsi="Times New Roman"/>
                <w:color w:val="000000"/>
                <w:szCs w:val="22"/>
                <w:lang w:val="en-US"/>
              </w:rPr>
              <w:t>7222</w:t>
            </w:r>
          </w:p>
        </w:tc>
        <w:tc>
          <w:tcPr>
            <w:tcW w:w="0" w:type="auto"/>
            <w:tcBorders>
              <w:top w:val="nil"/>
              <w:left w:val="nil"/>
              <w:bottom w:val="single" w:sz="4" w:space="0" w:color="auto"/>
              <w:right w:val="single" w:sz="4" w:space="0" w:color="auto"/>
            </w:tcBorders>
            <w:vAlign w:val="bottom"/>
          </w:tcPr>
          <w:p w:rsidR="00D94969" w:rsidRPr="00AC7BE0" w:rsidRDefault="00D94969" w:rsidP="00574718">
            <w:pPr>
              <w:pStyle w:val="a4"/>
              <w:rPr>
                <w:rFonts w:ascii="Times New Roman" w:hAnsi="Times New Roman"/>
                <w:lang w:val="en-US"/>
              </w:rPr>
            </w:pPr>
            <w:r w:rsidRPr="007734CC">
              <w:rPr>
                <w:rFonts w:ascii="Times New Roman" w:hAnsi="Times New Roman"/>
                <w:color w:val="000000"/>
                <w:szCs w:val="22"/>
              </w:rPr>
              <w:t>0,</w:t>
            </w:r>
            <w:r>
              <w:rPr>
                <w:rFonts w:ascii="Times New Roman" w:hAnsi="Times New Roman"/>
                <w:color w:val="000000"/>
                <w:szCs w:val="22"/>
                <w:lang w:val="en-US"/>
              </w:rPr>
              <w:t>7353</w:t>
            </w:r>
          </w:p>
        </w:tc>
        <w:tc>
          <w:tcPr>
            <w:tcW w:w="0" w:type="auto"/>
            <w:tcBorders>
              <w:top w:val="nil"/>
              <w:left w:val="nil"/>
              <w:bottom w:val="single" w:sz="4" w:space="0" w:color="auto"/>
              <w:right w:val="single" w:sz="4" w:space="0" w:color="auto"/>
            </w:tcBorders>
            <w:vAlign w:val="bottom"/>
          </w:tcPr>
          <w:p w:rsidR="00D94969" w:rsidRPr="00AC7BE0" w:rsidRDefault="00D94969" w:rsidP="00574718">
            <w:pPr>
              <w:pStyle w:val="a4"/>
              <w:rPr>
                <w:rFonts w:ascii="Times New Roman" w:hAnsi="Times New Roman"/>
                <w:lang w:val="en-US"/>
              </w:rPr>
            </w:pPr>
            <w:r w:rsidRPr="007734CC">
              <w:rPr>
                <w:rFonts w:ascii="Times New Roman" w:hAnsi="Times New Roman"/>
                <w:color w:val="000000"/>
                <w:szCs w:val="22"/>
              </w:rPr>
              <w:t>0,</w:t>
            </w:r>
            <w:r>
              <w:rPr>
                <w:rFonts w:ascii="Times New Roman" w:hAnsi="Times New Roman"/>
                <w:color w:val="000000"/>
                <w:szCs w:val="22"/>
                <w:lang w:val="en-US"/>
              </w:rPr>
              <w:t>8052</w:t>
            </w:r>
          </w:p>
        </w:tc>
        <w:tc>
          <w:tcPr>
            <w:tcW w:w="0" w:type="auto"/>
            <w:tcBorders>
              <w:top w:val="nil"/>
              <w:left w:val="nil"/>
              <w:bottom w:val="single" w:sz="4" w:space="0" w:color="auto"/>
              <w:right w:val="single" w:sz="4" w:space="0" w:color="auto"/>
            </w:tcBorders>
            <w:vAlign w:val="bottom"/>
          </w:tcPr>
          <w:p w:rsidR="00D94969" w:rsidRPr="00AC7BE0" w:rsidRDefault="00D94969" w:rsidP="00574718">
            <w:pPr>
              <w:pStyle w:val="a4"/>
              <w:rPr>
                <w:rFonts w:ascii="Times New Roman" w:hAnsi="Times New Roman"/>
                <w:lang w:val="en-US"/>
              </w:rPr>
            </w:pPr>
            <w:r w:rsidRPr="007734CC">
              <w:rPr>
                <w:rFonts w:ascii="Times New Roman" w:hAnsi="Times New Roman"/>
                <w:color w:val="000000"/>
                <w:szCs w:val="22"/>
              </w:rPr>
              <w:t>0,</w:t>
            </w:r>
            <w:r>
              <w:rPr>
                <w:rFonts w:ascii="Times New Roman" w:hAnsi="Times New Roman"/>
                <w:color w:val="000000"/>
                <w:szCs w:val="22"/>
                <w:lang w:val="en-US"/>
              </w:rPr>
              <w:t>8165</w:t>
            </w:r>
          </w:p>
        </w:tc>
        <w:tc>
          <w:tcPr>
            <w:tcW w:w="0" w:type="auto"/>
            <w:tcBorders>
              <w:top w:val="nil"/>
              <w:left w:val="nil"/>
              <w:bottom w:val="single" w:sz="4" w:space="0" w:color="auto"/>
              <w:right w:val="single" w:sz="4" w:space="0" w:color="auto"/>
            </w:tcBorders>
            <w:vAlign w:val="bottom"/>
          </w:tcPr>
          <w:p w:rsidR="00D94969" w:rsidRPr="00AC7BE0" w:rsidRDefault="00D94969" w:rsidP="00574718">
            <w:pPr>
              <w:pStyle w:val="a4"/>
              <w:rPr>
                <w:rFonts w:ascii="Times New Roman" w:hAnsi="Times New Roman"/>
                <w:lang w:val="en-US"/>
              </w:rPr>
            </w:pPr>
            <w:r w:rsidRPr="007734CC">
              <w:rPr>
                <w:rFonts w:ascii="Times New Roman" w:hAnsi="Times New Roman"/>
                <w:color w:val="000000"/>
                <w:szCs w:val="22"/>
              </w:rPr>
              <w:t>0,</w:t>
            </w:r>
            <w:r>
              <w:rPr>
                <w:rFonts w:ascii="Times New Roman" w:hAnsi="Times New Roman"/>
                <w:color w:val="000000"/>
                <w:szCs w:val="22"/>
                <w:lang w:val="en-US"/>
              </w:rPr>
              <w:t>7314</w:t>
            </w:r>
          </w:p>
        </w:tc>
      </w:tr>
    </w:tbl>
    <w:p w:rsidR="00D94969" w:rsidRPr="006C3FCA" w:rsidRDefault="00D94969" w:rsidP="00C052ED">
      <w:pPr>
        <w:pStyle w:val="a4"/>
        <w:spacing w:before="120" w:line="360" w:lineRule="auto"/>
        <w:ind w:firstLine="709"/>
        <w:jc w:val="both"/>
        <w:rPr>
          <w:rFonts w:ascii="Times New Roman" w:hAnsi="Times New Roman"/>
          <w:sz w:val="28"/>
        </w:rPr>
      </w:pPr>
      <w:r>
        <w:rPr>
          <w:rFonts w:ascii="Times New Roman" w:hAnsi="Times New Roman"/>
          <w:sz w:val="28"/>
        </w:rPr>
        <w:t xml:space="preserve">В результате значимыми оказались переменная </w:t>
      </w:r>
      <w:proofErr w:type="spellStart"/>
      <w:r>
        <w:rPr>
          <w:rFonts w:ascii="Times New Roman" w:hAnsi="Times New Roman"/>
          <w:sz w:val="28"/>
        </w:rPr>
        <w:t>подотрасли</w:t>
      </w:r>
      <w:proofErr w:type="spellEnd"/>
      <w:r>
        <w:rPr>
          <w:rFonts w:ascii="Times New Roman" w:hAnsi="Times New Roman"/>
          <w:sz w:val="28"/>
        </w:rPr>
        <w:t xml:space="preserve"> производства молочных продуктов при показателе рентабельности активов и переменная той же </w:t>
      </w:r>
      <w:proofErr w:type="spellStart"/>
      <w:r>
        <w:rPr>
          <w:rFonts w:ascii="Times New Roman" w:hAnsi="Times New Roman"/>
          <w:sz w:val="28"/>
        </w:rPr>
        <w:t>подотрасли</w:t>
      </w:r>
      <w:proofErr w:type="spellEnd"/>
      <w:r>
        <w:rPr>
          <w:rFonts w:ascii="Times New Roman" w:hAnsi="Times New Roman"/>
          <w:sz w:val="28"/>
        </w:rPr>
        <w:t xml:space="preserve"> при коэффициенте автономии. Таким образом, была получена итоговая эконометрическая модель.</w:t>
      </w:r>
    </w:p>
    <w:p w:rsidR="008A500E" w:rsidRPr="006C3FCA" w:rsidRDefault="008A500E" w:rsidP="008A500E">
      <w:pPr>
        <w:pStyle w:val="a4"/>
        <w:spacing w:line="360" w:lineRule="auto"/>
        <w:ind w:firstLine="709"/>
        <w:jc w:val="both"/>
        <w:rPr>
          <w:rFonts w:ascii="Times New Roman" w:hAnsi="Times New Roman"/>
          <w:sz w:val="28"/>
        </w:rPr>
      </w:pPr>
    </w:p>
    <w:p w:rsidR="008A500E" w:rsidRPr="006C3FCA" w:rsidRDefault="008A500E" w:rsidP="008A500E">
      <w:pPr>
        <w:pStyle w:val="a4"/>
        <w:spacing w:line="360" w:lineRule="auto"/>
        <w:ind w:firstLine="709"/>
        <w:jc w:val="both"/>
        <w:rPr>
          <w:rFonts w:ascii="Times New Roman" w:hAnsi="Times New Roman"/>
          <w:sz w:val="28"/>
        </w:rPr>
      </w:pPr>
    </w:p>
    <w:p w:rsidR="00D94969" w:rsidRPr="00E06EB0" w:rsidRDefault="00D94969" w:rsidP="0091208F">
      <w:pPr>
        <w:pStyle w:val="a4"/>
        <w:spacing w:before="120"/>
        <w:jc w:val="right"/>
        <w:rPr>
          <w:rFonts w:ascii="Times New Roman" w:hAnsi="Times New Roman"/>
          <w:sz w:val="28"/>
        </w:rPr>
      </w:pPr>
      <w:r>
        <w:rPr>
          <w:rFonts w:ascii="Times New Roman" w:hAnsi="Times New Roman"/>
          <w:sz w:val="28"/>
        </w:rPr>
        <w:lastRenderedPageBreak/>
        <w:t>Таблица 5</w:t>
      </w:r>
    </w:p>
    <w:p w:rsidR="00D94969" w:rsidRPr="008E3007" w:rsidRDefault="00D94969" w:rsidP="0091208F">
      <w:pPr>
        <w:pStyle w:val="a4"/>
        <w:spacing w:after="120"/>
        <w:jc w:val="center"/>
        <w:rPr>
          <w:rFonts w:ascii="Times New Roman" w:hAnsi="Times New Roman"/>
          <w:b/>
          <w:sz w:val="28"/>
        </w:rPr>
      </w:pPr>
      <w:r>
        <w:rPr>
          <w:rFonts w:ascii="Times New Roman" w:hAnsi="Times New Roman"/>
          <w:b/>
          <w:sz w:val="28"/>
        </w:rPr>
        <w:t>Итоговая</w:t>
      </w:r>
      <w:r w:rsidRPr="00E06EB0">
        <w:rPr>
          <w:rFonts w:ascii="Times New Roman" w:hAnsi="Times New Roman"/>
          <w:b/>
          <w:sz w:val="28"/>
        </w:rPr>
        <w:t xml:space="preserve"> эконометрическая модель</w:t>
      </w:r>
    </w:p>
    <w:p w:rsidR="00D94969" w:rsidRPr="008E3007" w:rsidRDefault="00D94969" w:rsidP="00CD2BB6">
      <w:pPr>
        <w:pStyle w:val="a4"/>
        <w:jc w:val="center"/>
        <w:rPr>
          <w:rFonts w:ascii="Times New Roman" w:hAnsi="Times New Roman"/>
          <w:b/>
          <w:sz w:val="12"/>
          <w:szCs w:val="12"/>
        </w:rPr>
      </w:pPr>
    </w:p>
    <w:tbl>
      <w:tblPr>
        <w:tblW w:w="9151" w:type="dxa"/>
        <w:jc w:val="center"/>
        <w:tblInd w:w="108" w:type="dxa"/>
        <w:tblLayout w:type="fixed"/>
        <w:tblLook w:val="00A0" w:firstRow="1" w:lastRow="0" w:firstColumn="1" w:lastColumn="0" w:noHBand="0" w:noVBand="0"/>
      </w:tblPr>
      <w:tblGrid>
        <w:gridCol w:w="4253"/>
        <w:gridCol w:w="1843"/>
        <w:gridCol w:w="1559"/>
        <w:gridCol w:w="1496"/>
      </w:tblGrid>
      <w:tr w:rsidR="00D94969" w:rsidRPr="005D6559" w:rsidTr="0091208F">
        <w:trPr>
          <w:trHeight w:val="290"/>
          <w:jc w:val="center"/>
        </w:trPr>
        <w:tc>
          <w:tcPr>
            <w:tcW w:w="4253" w:type="dxa"/>
            <w:tcBorders>
              <w:top w:val="single" w:sz="4" w:space="0" w:color="auto"/>
              <w:left w:val="single" w:sz="4" w:space="0" w:color="auto"/>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sidRPr="00E06EB0">
              <w:rPr>
                <w:rFonts w:ascii="Times New Roman" w:hAnsi="Times New Roman"/>
              </w:rPr>
              <w:t>Переменные</w:t>
            </w:r>
          </w:p>
        </w:tc>
        <w:tc>
          <w:tcPr>
            <w:tcW w:w="1843" w:type="dxa"/>
            <w:tcBorders>
              <w:top w:val="single" w:sz="4" w:space="0" w:color="auto"/>
              <w:left w:val="nil"/>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sidRPr="00E06EB0">
              <w:rPr>
                <w:rFonts w:ascii="Times New Roman" w:hAnsi="Times New Roman"/>
              </w:rPr>
              <w:t>Коэффициенты</w:t>
            </w:r>
          </w:p>
        </w:tc>
        <w:tc>
          <w:tcPr>
            <w:tcW w:w="1559" w:type="dxa"/>
            <w:tcBorders>
              <w:top w:val="single" w:sz="4" w:space="0" w:color="auto"/>
              <w:left w:val="nil"/>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sidRPr="00E06EB0">
              <w:rPr>
                <w:rFonts w:ascii="Times New Roman" w:hAnsi="Times New Roman"/>
              </w:rPr>
              <w:t>Стандартное отклонение</w:t>
            </w:r>
          </w:p>
        </w:tc>
        <w:tc>
          <w:tcPr>
            <w:tcW w:w="1496" w:type="dxa"/>
            <w:tcBorders>
              <w:top w:val="single" w:sz="4" w:space="0" w:color="auto"/>
              <w:left w:val="nil"/>
              <w:bottom w:val="single" w:sz="4" w:space="0" w:color="auto"/>
              <w:right w:val="single" w:sz="4" w:space="0" w:color="auto"/>
            </w:tcBorders>
            <w:vAlign w:val="bottom"/>
          </w:tcPr>
          <w:p w:rsidR="00D94969" w:rsidRPr="00E35D5C" w:rsidRDefault="00D94969" w:rsidP="00574718">
            <w:pPr>
              <w:pStyle w:val="a4"/>
              <w:rPr>
                <w:rFonts w:ascii="Times New Roman" w:hAnsi="Times New Roman"/>
              </w:rPr>
            </w:pPr>
            <w:r>
              <w:rPr>
                <w:rFonts w:ascii="Times New Roman" w:hAnsi="Times New Roman"/>
              </w:rPr>
              <w:t>t-статистика</w:t>
            </w:r>
          </w:p>
        </w:tc>
      </w:tr>
      <w:tr w:rsidR="00D94969" w:rsidRPr="005D6559" w:rsidTr="0091208F">
        <w:trPr>
          <w:trHeight w:val="290"/>
          <w:jc w:val="center"/>
        </w:trPr>
        <w:tc>
          <w:tcPr>
            <w:tcW w:w="4253" w:type="dxa"/>
            <w:tcBorders>
              <w:top w:val="nil"/>
              <w:left w:val="single" w:sz="4" w:space="0" w:color="auto"/>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Pr>
                <w:rFonts w:ascii="Times New Roman" w:hAnsi="Times New Roman"/>
              </w:rPr>
              <w:t>Рентабельность активов</w:t>
            </w:r>
          </w:p>
        </w:tc>
        <w:tc>
          <w:tcPr>
            <w:tcW w:w="1843" w:type="dxa"/>
            <w:tcBorders>
              <w:top w:val="nil"/>
              <w:left w:val="nil"/>
              <w:bottom w:val="single" w:sz="4" w:space="0" w:color="auto"/>
              <w:right w:val="single" w:sz="4" w:space="0" w:color="auto"/>
            </w:tcBorders>
            <w:noWrap/>
            <w:vAlign w:val="bottom"/>
          </w:tcPr>
          <w:p w:rsidR="00D94969" w:rsidRPr="009028AC" w:rsidRDefault="00D94969" w:rsidP="00574718">
            <w:pPr>
              <w:pStyle w:val="a4"/>
              <w:rPr>
                <w:rFonts w:ascii="Times New Roman" w:hAnsi="Times New Roman"/>
                <w:vertAlign w:val="superscript"/>
              </w:rPr>
            </w:pPr>
            <w:r w:rsidRPr="0009225F">
              <w:rPr>
                <w:rFonts w:ascii="Times New Roman" w:eastAsia="MinionPro-It" w:hAnsi="Times New Roman"/>
                <w:lang w:val="en-US"/>
              </w:rPr>
              <w:t>–</w:t>
            </w:r>
            <w:r>
              <w:rPr>
                <w:rFonts w:ascii="Times New Roman" w:hAnsi="Times New Roman"/>
              </w:rPr>
              <w:t>0,087</w:t>
            </w:r>
          </w:p>
        </w:tc>
        <w:tc>
          <w:tcPr>
            <w:tcW w:w="1559" w:type="dxa"/>
            <w:tcBorders>
              <w:top w:val="nil"/>
              <w:left w:val="nil"/>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Pr>
                <w:rFonts w:ascii="Times New Roman" w:hAnsi="Times New Roman"/>
              </w:rPr>
              <w:t>0,024</w:t>
            </w:r>
          </w:p>
        </w:tc>
        <w:tc>
          <w:tcPr>
            <w:tcW w:w="1496" w:type="dxa"/>
            <w:tcBorders>
              <w:top w:val="nil"/>
              <w:left w:val="nil"/>
              <w:bottom w:val="single" w:sz="4" w:space="0" w:color="auto"/>
              <w:right w:val="single" w:sz="4" w:space="0" w:color="auto"/>
            </w:tcBorders>
          </w:tcPr>
          <w:p w:rsidR="00D94969" w:rsidRPr="00E06EB0" w:rsidRDefault="00D94969" w:rsidP="00574718">
            <w:pPr>
              <w:pStyle w:val="a4"/>
              <w:rPr>
                <w:rFonts w:ascii="Times New Roman" w:hAnsi="Times New Roman"/>
              </w:rPr>
            </w:pPr>
            <w:r w:rsidRPr="00F80621">
              <w:rPr>
                <w:rFonts w:ascii="Times New Roman" w:eastAsia="MinionPro-It" w:hAnsi="Times New Roman"/>
                <w:lang w:val="en-US"/>
              </w:rPr>
              <w:t>–</w:t>
            </w:r>
            <w:r>
              <w:rPr>
                <w:rFonts w:ascii="Times New Roman" w:hAnsi="Times New Roman"/>
              </w:rPr>
              <w:t>3,52</w:t>
            </w:r>
          </w:p>
        </w:tc>
      </w:tr>
      <w:tr w:rsidR="00D94969" w:rsidRPr="005D6559" w:rsidTr="0091208F">
        <w:trPr>
          <w:trHeight w:val="290"/>
          <w:jc w:val="center"/>
        </w:trPr>
        <w:tc>
          <w:tcPr>
            <w:tcW w:w="4253" w:type="dxa"/>
            <w:tcBorders>
              <w:top w:val="nil"/>
              <w:left w:val="single" w:sz="4" w:space="0" w:color="auto"/>
              <w:bottom w:val="single" w:sz="4" w:space="0" w:color="auto"/>
              <w:right w:val="single" w:sz="4" w:space="0" w:color="auto"/>
            </w:tcBorders>
            <w:noWrap/>
            <w:vAlign w:val="bottom"/>
          </w:tcPr>
          <w:p w:rsidR="00D94969" w:rsidRDefault="00D94969" w:rsidP="00574718">
            <w:pPr>
              <w:pStyle w:val="a4"/>
              <w:rPr>
                <w:rFonts w:ascii="Times New Roman" w:hAnsi="Times New Roman"/>
              </w:rPr>
            </w:pPr>
            <w:r>
              <w:rPr>
                <w:rFonts w:ascii="Times New Roman" w:hAnsi="Times New Roman"/>
              </w:rPr>
              <w:t>Рент. активов*Отрасль мол. пр.</w:t>
            </w:r>
          </w:p>
        </w:tc>
        <w:tc>
          <w:tcPr>
            <w:tcW w:w="1843" w:type="dxa"/>
            <w:tcBorders>
              <w:top w:val="nil"/>
              <w:left w:val="nil"/>
              <w:bottom w:val="single" w:sz="4" w:space="0" w:color="auto"/>
              <w:right w:val="single" w:sz="4" w:space="0" w:color="auto"/>
            </w:tcBorders>
            <w:noWrap/>
            <w:vAlign w:val="bottom"/>
          </w:tcPr>
          <w:p w:rsidR="00D94969" w:rsidRPr="0009225F" w:rsidRDefault="00D94969" w:rsidP="00574718">
            <w:pPr>
              <w:pStyle w:val="a4"/>
              <w:rPr>
                <w:rFonts w:ascii="Times New Roman" w:eastAsia="MinionPro-It" w:hAnsi="Times New Roman"/>
                <w:lang w:val="en-US"/>
              </w:rPr>
            </w:pPr>
            <w:r>
              <w:rPr>
                <w:rFonts w:ascii="Times New Roman" w:eastAsia="MinionPro-It" w:hAnsi="Times New Roman"/>
                <w:lang w:val="en-US"/>
              </w:rPr>
              <w:t>0,668</w:t>
            </w:r>
          </w:p>
        </w:tc>
        <w:tc>
          <w:tcPr>
            <w:tcW w:w="1559" w:type="dxa"/>
            <w:tcBorders>
              <w:top w:val="nil"/>
              <w:left w:val="nil"/>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Pr>
                <w:rFonts w:ascii="Times New Roman" w:hAnsi="Times New Roman"/>
              </w:rPr>
              <w:t>0</w:t>
            </w:r>
            <w:r>
              <w:rPr>
                <w:rFonts w:ascii="Times New Roman" w:hAnsi="Times New Roman"/>
                <w:lang w:val="en-US"/>
              </w:rPr>
              <w:t>,</w:t>
            </w:r>
            <w:r>
              <w:rPr>
                <w:rFonts w:ascii="Times New Roman" w:hAnsi="Times New Roman"/>
              </w:rPr>
              <w:t>034</w:t>
            </w:r>
          </w:p>
        </w:tc>
        <w:tc>
          <w:tcPr>
            <w:tcW w:w="1496" w:type="dxa"/>
            <w:tcBorders>
              <w:top w:val="nil"/>
              <w:left w:val="nil"/>
              <w:bottom w:val="single" w:sz="4" w:space="0" w:color="auto"/>
              <w:right w:val="single" w:sz="4" w:space="0" w:color="auto"/>
            </w:tcBorders>
          </w:tcPr>
          <w:p w:rsidR="00D94969" w:rsidRPr="00F80621" w:rsidRDefault="00D94969" w:rsidP="00574718">
            <w:pPr>
              <w:pStyle w:val="a4"/>
              <w:rPr>
                <w:rFonts w:ascii="Times New Roman" w:eastAsia="MinionPro-It" w:hAnsi="Times New Roman"/>
                <w:lang w:val="en-US"/>
              </w:rPr>
            </w:pPr>
            <w:r>
              <w:rPr>
                <w:rFonts w:ascii="Times New Roman" w:eastAsia="MinionPro-It" w:hAnsi="Times New Roman"/>
                <w:lang w:val="en-US"/>
              </w:rPr>
              <w:t>1,95</w:t>
            </w:r>
          </w:p>
        </w:tc>
      </w:tr>
      <w:tr w:rsidR="00D94969" w:rsidRPr="005D6559" w:rsidTr="0091208F">
        <w:trPr>
          <w:trHeight w:val="290"/>
          <w:jc w:val="center"/>
        </w:trPr>
        <w:tc>
          <w:tcPr>
            <w:tcW w:w="4253" w:type="dxa"/>
            <w:tcBorders>
              <w:top w:val="nil"/>
              <w:left w:val="single" w:sz="4" w:space="0" w:color="auto"/>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sidRPr="005D6559">
              <w:rPr>
                <w:rFonts w:ascii="Times New Roman" w:hAnsi="Times New Roman"/>
              </w:rPr>
              <w:t>Оборачиваемость активов</w:t>
            </w:r>
          </w:p>
        </w:tc>
        <w:tc>
          <w:tcPr>
            <w:tcW w:w="1843" w:type="dxa"/>
            <w:tcBorders>
              <w:top w:val="nil"/>
              <w:left w:val="nil"/>
              <w:bottom w:val="single" w:sz="4" w:space="0" w:color="auto"/>
              <w:right w:val="single" w:sz="4" w:space="0" w:color="auto"/>
            </w:tcBorders>
            <w:noWrap/>
            <w:vAlign w:val="bottom"/>
          </w:tcPr>
          <w:p w:rsidR="00D94969" w:rsidRPr="009028AC" w:rsidRDefault="00D94969" w:rsidP="00574718">
            <w:pPr>
              <w:pStyle w:val="a4"/>
              <w:rPr>
                <w:rFonts w:ascii="Times New Roman" w:hAnsi="Times New Roman"/>
                <w:vertAlign w:val="superscript"/>
              </w:rPr>
            </w:pPr>
            <w:r w:rsidRPr="00F80621">
              <w:rPr>
                <w:rFonts w:ascii="Times New Roman" w:eastAsia="MinionPro-It" w:hAnsi="Times New Roman"/>
                <w:lang w:val="en-US"/>
              </w:rPr>
              <w:t>–</w:t>
            </w:r>
            <w:r>
              <w:rPr>
                <w:rFonts w:ascii="Times New Roman" w:hAnsi="Times New Roman"/>
              </w:rPr>
              <w:t>0,476</w:t>
            </w:r>
          </w:p>
        </w:tc>
        <w:tc>
          <w:tcPr>
            <w:tcW w:w="1559" w:type="dxa"/>
            <w:tcBorders>
              <w:top w:val="nil"/>
              <w:left w:val="nil"/>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sidRPr="00E06EB0">
              <w:rPr>
                <w:rFonts w:ascii="Times New Roman" w:hAnsi="Times New Roman"/>
              </w:rPr>
              <w:t>0,</w:t>
            </w:r>
            <w:r>
              <w:rPr>
                <w:rFonts w:ascii="Times New Roman" w:hAnsi="Times New Roman"/>
              </w:rPr>
              <w:t>177</w:t>
            </w:r>
          </w:p>
        </w:tc>
        <w:tc>
          <w:tcPr>
            <w:tcW w:w="1496" w:type="dxa"/>
            <w:tcBorders>
              <w:top w:val="nil"/>
              <w:left w:val="nil"/>
              <w:bottom w:val="single" w:sz="4" w:space="0" w:color="auto"/>
              <w:right w:val="single" w:sz="4" w:space="0" w:color="auto"/>
            </w:tcBorders>
          </w:tcPr>
          <w:p w:rsidR="00D94969" w:rsidRPr="00E06EB0" w:rsidRDefault="00D94969" w:rsidP="00574718">
            <w:pPr>
              <w:pStyle w:val="a4"/>
              <w:rPr>
                <w:rFonts w:ascii="Times New Roman" w:hAnsi="Times New Roman"/>
              </w:rPr>
            </w:pPr>
            <w:r w:rsidRPr="00F80621">
              <w:rPr>
                <w:rFonts w:ascii="Times New Roman" w:eastAsia="MinionPro-It" w:hAnsi="Times New Roman"/>
                <w:lang w:val="en-US"/>
              </w:rPr>
              <w:t>–</w:t>
            </w:r>
            <w:r>
              <w:rPr>
                <w:rFonts w:ascii="Times New Roman" w:hAnsi="Times New Roman"/>
              </w:rPr>
              <w:t>2,69</w:t>
            </w:r>
          </w:p>
        </w:tc>
      </w:tr>
      <w:tr w:rsidR="00D94969" w:rsidRPr="005D6559" w:rsidTr="0091208F">
        <w:trPr>
          <w:trHeight w:val="290"/>
          <w:jc w:val="center"/>
        </w:trPr>
        <w:tc>
          <w:tcPr>
            <w:tcW w:w="4253" w:type="dxa"/>
            <w:tcBorders>
              <w:top w:val="nil"/>
              <w:left w:val="single" w:sz="4" w:space="0" w:color="auto"/>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sidRPr="005D6559">
              <w:rPr>
                <w:rFonts w:ascii="Times New Roman" w:hAnsi="Times New Roman"/>
              </w:rPr>
              <w:t xml:space="preserve">Средний срок оборота кредиторской задолженности </w:t>
            </w:r>
          </w:p>
        </w:tc>
        <w:tc>
          <w:tcPr>
            <w:tcW w:w="1843" w:type="dxa"/>
            <w:tcBorders>
              <w:top w:val="nil"/>
              <w:left w:val="nil"/>
              <w:bottom w:val="single" w:sz="4" w:space="0" w:color="auto"/>
              <w:right w:val="single" w:sz="4" w:space="0" w:color="auto"/>
            </w:tcBorders>
            <w:noWrap/>
            <w:vAlign w:val="bottom"/>
          </w:tcPr>
          <w:p w:rsidR="00D94969" w:rsidRPr="00F80621" w:rsidRDefault="00D94969" w:rsidP="00574718">
            <w:pPr>
              <w:pStyle w:val="a4"/>
              <w:rPr>
                <w:rFonts w:ascii="Times New Roman" w:hAnsi="Times New Roman"/>
              </w:rPr>
            </w:pPr>
            <w:r w:rsidRPr="00F80621">
              <w:rPr>
                <w:rFonts w:ascii="Times New Roman" w:eastAsia="MinionPro-It" w:hAnsi="Times New Roman"/>
                <w:lang w:val="en-US"/>
              </w:rPr>
              <w:t>–</w:t>
            </w:r>
            <w:r>
              <w:rPr>
                <w:rFonts w:ascii="Times New Roman" w:hAnsi="Times New Roman"/>
              </w:rPr>
              <w:t>0,0005</w:t>
            </w:r>
          </w:p>
        </w:tc>
        <w:tc>
          <w:tcPr>
            <w:tcW w:w="1559" w:type="dxa"/>
            <w:tcBorders>
              <w:top w:val="nil"/>
              <w:left w:val="nil"/>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sidRPr="00E06EB0">
              <w:rPr>
                <w:rFonts w:ascii="Times New Roman" w:hAnsi="Times New Roman"/>
              </w:rPr>
              <w:t>0,</w:t>
            </w:r>
            <w:r>
              <w:rPr>
                <w:rFonts w:ascii="Times New Roman" w:hAnsi="Times New Roman"/>
              </w:rPr>
              <w:t>0005</w:t>
            </w:r>
          </w:p>
        </w:tc>
        <w:tc>
          <w:tcPr>
            <w:tcW w:w="1496" w:type="dxa"/>
            <w:tcBorders>
              <w:top w:val="nil"/>
              <w:left w:val="nil"/>
              <w:bottom w:val="single" w:sz="4" w:space="0" w:color="auto"/>
              <w:right w:val="single" w:sz="4" w:space="0" w:color="auto"/>
            </w:tcBorders>
            <w:vAlign w:val="bottom"/>
          </w:tcPr>
          <w:p w:rsidR="00D94969" w:rsidRPr="00E06EB0" w:rsidRDefault="00D94969" w:rsidP="00574718">
            <w:pPr>
              <w:pStyle w:val="a4"/>
              <w:rPr>
                <w:rFonts w:ascii="Times New Roman" w:hAnsi="Times New Roman"/>
              </w:rPr>
            </w:pPr>
            <w:r>
              <w:rPr>
                <w:rFonts w:ascii="Times New Roman" w:hAnsi="Times New Roman"/>
              </w:rPr>
              <w:t>1,02</w:t>
            </w:r>
          </w:p>
        </w:tc>
      </w:tr>
      <w:tr w:rsidR="00D94969" w:rsidRPr="005D6559" w:rsidTr="0091208F">
        <w:trPr>
          <w:trHeight w:val="290"/>
          <w:jc w:val="center"/>
        </w:trPr>
        <w:tc>
          <w:tcPr>
            <w:tcW w:w="4253" w:type="dxa"/>
            <w:tcBorders>
              <w:top w:val="nil"/>
              <w:left w:val="single" w:sz="4" w:space="0" w:color="auto"/>
              <w:bottom w:val="single" w:sz="4" w:space="0" w:color="auto"/>
              <w:right w:val="single" w:sz="4" w:space="0" w:color="auto"/>
            </w:tcBorders>
            <w:noWrap/>
            <w:vAlign w:val="bottom"/>
          </w:tcPr>
          <w:p w:rsidR="00D94969" w:rsidRPr="005D6559" w:rsidRDefault="00D94969" w:rsidP="00574718">
            <w:pPr>
              <w:pStyle w:val="a4"/>
              <w:rPr>
                <w:rFonts w:ascii="Times New Roman" w:hAnsi="Times New Roman"/>
              </w:rPr>
            </w:pPr>
            <w:r w:rsidRPr="005D6559">
              <w:rPr>
                <w:rFonts w:ascii="Times New Roman" w:hAnsi="Times New Roman"/>
              </w:rPr>
              <w:t>Коэффициент автономии</w:t>
            </w:r>
          </w:p>
        </w:tc>
        <w:tc>
          <w:tcPr>
            <w:tcW w:w="1843" w:type="dxa"/>
            <w:tcBorders>
              <w:top w:val="nil"/>
              <w:left w:val="nil"/>
              <w:bottom w:val="single" w:sz="4" w:space="0" w:color="auto"/>
              <w:right w:val="single" w:sz="4" w:space="0" w:color="auto"/>
            </w:tcBorders>
            <w:noWrap/>
            <w:vAlign w:val="bottom"/>
          </w:tcPr>
          <w:p w:rsidR="00D94969" w:rsidRPr="0009225F" w:rsidRDefault="00D94969" w:rsidP="00574718">
            <w:pPr>
              <w:pStyle w:val="a4"/>
              <w:rPr>
                <w:rFonts w:ascii="Times New Roman" w:eastAsia="MinionPro-It" w:hAnsi="Times New Roman"/>
              </w:rPr>
            </w:pPr>
            <w:r w:rsidRPr="00F80621">
              <w:rPr>
                <w:rFonts w:ascii="Times New Roman" w:eastAsia="MinionPro-It" w:hAnsi="Times New Roman"/>
                <w:lang w:val="en-US"/>
              </w:rPr>
              <w:t>–</w:t>
            </w:r>
            <w:r>
              <w:rPr>
                <w:rFonts w:ascii="Times New Roman" w:eastAsia="MinionPro-It" w:hAnsi="Times New Roman"/>
              </w:rPr>
              <w:t>0,</w:t>
            </w:r>
            <w:r>
              <w:rPr>
                <w:rFonts w:ascii="Times New Roman" w:eastAsia="MinionPro-It" w:hAnsi="Times New Roman"/>
                <w:lang w:val="en-US"/>
              </w:rPr>
              <w:t>013</w:t>
            </w:r>
          </w:p>
        </w:tc>
        <w:tc>
          <w:tcPr>
            <w:tcW w:w="1559" w:type="dxa"/>
            <w:tcBorders>
              <w:top w:val="nil"/>
              <w:left w:val="nil"/>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Pr>
                <w:rFonts w:ascii="Times New Roman" w:hAnsi="Times New Roman"/>
              </w:rPr>
              <w:t>0,0073</w:t>
            </w:r>
          </w:p>
        </w:tc>
        <w:tc>
          <w:tcPr>
            <w:tcW w:w="1496" w:type="dxa"/>
            <w:tcBorders>
              <w:top w:val="nil"/>
              <w:left w:val="nil"/>
              <w:bottom w:val="single" w:sz="4" w:space="0" w:color="auto"/>
              <w:right w:val="single" w:sz="4" w:space="0" w:color="auto"/>
            </w:tcBorders>
          </w:tcPr>
          <w:p w:rsidR="00D94969" w:rsidRDefault="00D94969" w:rsidP="00574718">
            <w:pPr>
              <w:pStyle w:val="a4"/>
              <w:rPr>
                <w:rFonts w:ascii="Times New Roman" w:hAnsi="Times New Roman"/>
              </w:rPr>
            </w:pPr>
            <w:r w:rsidRPr="00F80621">
              <w:rPr>
                <w:rFonts w:ascii="Times New Roman" w:eastAsia="MinionPro-It" w:hAnsi="Times New Roman"/>
                <w:lang w:val="en-US"/>
              </w:rPr>
              <w:t>–</w:t>
            </w:r>
            <w:r>
              <w:rPr>
                <w:rFonts w:ascii="Times New Roman" w:hAnsi="Times New Roman"/>
              </w:rPr>
              <w:t>1,77</w:t>
            </w:r>
          </w:p>
        </w:tc>
      </w:tr>
      <w:tr w:rsidR="00D94969" w:rsidRPr="005D6559" w:rsidTr="0091208F">
        <w:trPr>
          <w:trHeight w:val="290"/>
          <w:jc w:val="center"/>
        </w:trPr>
        <w:tc>
          <w:tcPr>
            <w:tcW w:w="4253" w:type="dxa"/>
            <w:tcBorders>
              <w:top w:val="nil"/>
              <w:left w:val="single" w:sz="4" w:space="0" w:color="auto"/>
              <w:bottom w:val="single" w:sz="4" w:space="0" w:color="auto"/>
              <w:right w:val="single" w:sz="4" w:space="0" w:color="auto"/>
            </w:tcBorders>
            <w:noWrap/>
            <w:vAlign w:val="bottom"/>
          </w:tcPr>
          <w:p w:rsidR="00D94969" w:rsidRPr="005D6559" w:rsidRDefault="00D94969" w:rsidP="00574718">
            <w:pPr>
              <w:pStyle w:val="a4"/>
              <w:rPr>
                <w:rFonts w:ascii="Times New Roman" w:hAnsi="Times New Roman"/>
              </w:rPr>
            </w:pPr>
            <w:r w:rsidRPr="005D6559">
              <w:rPr>
                <w:rFonts w:ascii="Times New Roman" w:hAnsi="Times New Roman"/>
              </w:rPr>
              <w:t>Коэффициент автономии</w:t>
            </w:r>
            <w:r w:rsidRPr="00CD2BB6">
              <w:rPr>
                <w:rFonts w:ascii="Times New Roman" w:hAnsi="Times New Roman"/>
              </w:rPr>
              <w:t>*</w:t>
            </w:r>
            <w:r w:rsidRPr="005D6559">
              <w:rPr>
                <w:rFonts w:ascii="Times New Roman" w:hAnsi="Times New Roman"/>
              </w:rPr>
              <w:t>От. мол. пр.</w:t>
            </w:r>
          </w:p>
        </w:tc>
        <w:tc>
          <w:tcPr>
            <w:tcW w:w="1843" w:type="dxa"/>
            <w:tcBorders>
              <w:top w:val="nil"/>
              <w:left w:val="nil"/>
              <w:bottom w:val="single" w:sz="4" w:space="0" w:color="auto"/>
              <w:right w:val="single" w:sz="4" w:space="0" w:color="auto"/>
            </w:tcBorders>
            <w:noWrap/>
            <w:vAlign w:val="bottom"/>
          </w:tcPr>
          <w:p w:rsidR="00D94969" w:rsidRPr="00F80621" w:rsidRDefault="00D94969" w:rsidP="00574718">
            <w:pPr>
              <w:pStyle w:val="a4"/>
              <w:rPr>
                <w:rFonts w:ascii="Times New Roman" w:eastAsia="MinionPro-It" w:hAnsi="Times New Roman"/>
                <w:lang w:val="en-US"/>
              </w:rPr>
            </w:pPr>
            <w:r>
              <w:rPr>
                <w:rFonts w:ascii="Times New Roman" w:eastAsia="MinionPro-It" w:hAnsi="Times New Roman"/>
                <w:lang w:val="en-US"/>
              </w:rPr>
              <w:t>0,011</w:t>
            </w:r>
          </w:p>
        </w:tc>
        <w:tc>
          <w:tcPr>
            <w:tcW w:w="1559" w:type="dxa"/>
            <w:tcBorders>
              <w:top w:val="nil"/>
              <w:left w:val="nil"/>
              <w:bottom w:val="single" w:sz="4" w:space="0" w:color="auto"/>
              <w:right w:val="single" w:sz="4" w:space="0" w:color="auto"/>
            </w:tcBorders>
            <w:noWrap/>
            <w:vAlign w:val="bottom"/>
          </w:tcPr>
          <w:p w:rsidR="00D94969" w:rsidRDefault="00D94969" w:rsidP="00574718">
            <w:pPr>
              <w:pStyle w:val="a4"/>
              <w:rPr>
                <w:rFonts w:ascii="Times New Roman" w:hAnsi="Times New Roman"/>
              </w:rPr>
            </w:pPr>
            <w:r>
              <w:rPr>
                <w:rFonts w:ascii="Times New Roman" w:hAnsi="Times New Roman"/>
              </w:rPr>
              <w:t>0,009</w:t>
            </w:r>
          </w:p>
        </w:tc>
        <w:tc>
          <w:tcPr>
            <w:tcW w:w="1496" w:type="dxa"/>
            <w:tcBorders>
              <w:top w:val="nil"/>
              <w:left w:val="nil"/>
              <w:bottom w:val="single" w:sz="4" w:space="0" w:color="auto"/>
              <w:right w:val="single" w:sz="4" w:space="0" w:color="auto"/>
            </w:tcBorders>
          </w:tcPr>
          <w:p w:rsidR="00D94969" w:rsidRPr="00F80621" w:rsidRDefault="00D94969" w:rsidP="00574718">
            <w:pPr>
              <w:pStyle w:val="a4"/>
              <w:rPr>
                <w:rFonts w:ascii="Times New Roman" w:eastAsia="MinionPro-It" w:hAnsi="Times New Roman"/>
                <w:lang w:val="en-US"/>
              </w:rPr>
            </w:pPr>
            <w:r>
              <w:rPr>
                <w:rFonts w:ascii="Times New Roman" w:eastAsia="MinionPro-It" w:hAnsi="Times New Roman"/>
                <w:lang w:val="en-US"/>
              </w:rPr>
              <w:t>1,17</w:t>
            </w:r>
          </w:p>
        </w:tc>
      </w:tr>
      <w:tr w:rsidR="00D94969" w:rsidRPr="005D6559" w:rsidTr="0091208F">
        <w:trPr>
          <w:trHeight w:val="290"/>
          <w:jc w:val="center"/>
        </w:trPr>
        <w:tc>
          <w:tcPr>
            <w:tcW w:w="4253" w:type="dxa"/>
            <w:tcBorders>
              <w:top w:val="nil"/>
              <w:left w:val="single" w:sz="4" w:space="0" w:color="auto"/>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sidRPr="00E06EB0">
              <w:rPr>
                <w:rFonts w:ascii="Times New Roman" w:hAnsi="Times New Roman"/>
              </w:rPr>
              <w:t>Константа</w:t>
            </w:r>
          </w:p>
        </w:tc>
        <w:tc>
          <w:tcPr>
            <w:tcW w:w="1843" w:type="dxa"/>
            <w:tcBorders>
              <w:top w:val="nil"/>
              <w:left w:val="nil"/>
              <w:bottom w:val="single" w:sz="4" w:space="0" w:color="auto"/>
              <w:right w:val="single" w:sz="4" w:space="0" w:color="auto"/>
            </w:tcBorders>
            <w:noWrap/>
            <w:vAlign w:val="bottom"/>
          </w:tcPr>
          <w:p w:rsidR="00D94969" w:rsidRPr="0009225F" w:rsidRDefault="00D94969" w:rsidP="00574718">
            <w:pPr>
              <w:pStyle w:val="a4"/>
              <w:rPr>
                <w:rFonts w:ascii="Times New Roman" w:hAnsi="Times New Roman"/>
              </w:rPr>
            </w:pPr>
            <w:r w:rsidRPr="00F80621">
              <w:rPr>
                <w:rFonts w:ascii="Times New Roman" w:eastAsia="MinionPro-It" w:hAnsi="Times New Roman"/>
                <w:lang w:val="en-US"/>
              </w:rPr>
              <w:t>–</w:t>
            </w:r>
            <w:r>
              <w:rPr>
                <w:rFonts w:ascii="Times New Roman" w:eastAsia="MinionPro-It" w:hAnsi="Times New Roman"/>
              </w:rPr>
              <w:t>0,</w:t>
            </w:r>
            <w:r>
              <w:rPr>
                <w:rFonts w:ascii="Times New Roman" w:eastAsia="MinionPro-It" w:hAnsi="Times New Roman"/>
                <w:lang w:val="en-US"/>
              </w:rPr>
              <w:t>202</w:t>
            </w:r>
          </w:p>
        </w:tc>
        <w:tc>
          <w:tcPr>
            <w:tcW w:w="1559" w:type="dxa"/>
            <w:tcBorders>
              <w:top w:val="nil"/>
              <w:left w:val="nil"/>
              <w:bottom w:val="single" w:sz="4" w:space="0" w:color="auto"/>
              <w:right w:val="single" w:sz="4" w:space="0" w:color="auto"/>
            </w:tcBorders>
            <w:noWrap/>
            <w:vAlign w:val="bottom"/>
          </w:tcPr>
          <w:p w:rsidR="00D94969" w:rsidRPr="00E06EB0" w:rsidRDefault="00D94969" w:rsidP="00574718">
            <w:pPr>
              <w:pStyle w:val="a4"/>
              <w:rPr>
                <w:rFonts w:ascii="Times New Roman" w:hAnsi="Times New Roman"/>
              </w:rPr>
            </w:pPr>
            <w:r w:rsidRPr="00E06EB0">
              <w:rPr>
                <w:rFonts w:ascii="Times New Roman" w:hAnsi="Times New Roman"/>
              </w:rPr>
              <w:t>0,</w:t>
            </w:r>
            <w:r>
              <w:rPr>
                <w:rFonts w:ascii="Times New Roman" w:hAnsi="Times New Roman"/>
              </w:rPr>
              <w:t>342</w:t>
            </w:r>
          </w:p>
        </w:tc>
        <w:tc>
          <w:tcPr>
            <w:tcW w:w="1496" w:type="dxa"/>
            <w:tcBorders>
              <w:top w:val="nil"/>
              <w:left w:val="nil"/>
              <w:bottom w:val="single" w:sz="4" w:space="0" w:color="auto"/>
              <w:right w:val="single" w:sz="4" w:space="0" w:color="auto"/>
            </w:tcBorders>
          </w:tcPr>
          <w:p w:rsidR="00D94969" w:rsidRPr="00E35D5C" w:rsidRDefault="00D94969" w:rsidP="00574718">
            <w:pPr>
              <w:pStyle w:val="a4"/>
              <w:rPr>
                <w:rFonts w:ascii="Times New Roman" w:hAnsi="Times New Roman"/>
              </w:rPr>
            </w:pPr>
            <w:r w:rsidRPr="00F80621">
              <w:rPr>
                <w:rFonts w:ascii="Times New Roman" w:eastAsia="MinionPro-It" w:hAnsi="Times New Roman"/>
                <w:lang w:val="en-US"/>
              </w:rPr>
              <w:t>–</w:t>
            </w:r>
            <w:r>
              <w:rPr>
                <w:rFonts w:ascii="Times New Roman" w:eastAsia="MinionPro-It" w:hAnsi="Times New Roman"/>
              </w:rPr>
              <w:t>0,59</w:t>
            </w:r>
          </w:p>
        </w:tc>
      </w:tr>
    </w:tbl>
    <w:p w:rsidR="00D94969" w:rsidRDefault="00D94969" w:rsidP="00C052ED">
      <w:pPr>
        <w:pStyle w:val="a4"/>
        <w:spacing w:before="120" w:line="360" w:lineRule="auto"/>
        <w:ind w:firstLine="709"/>
        <w:jc w:val="both"/>
        <w:rPr>
          <w:rFonts w:ascii="Times New Roman" w:hAnsi="Times New Roman"/>
          <w:sz w:val="28"/>
        </w:rPr>
      </w:pPr>
      <w:r>
        <w:rPr>
          <w:rFonts w:ascii="Times New Roman" w:hAnsi="Times New Roman"/>
          <w:sz w:val="28"/>
        </w:rPr>
        <w:t>В итоге, п</w:t>
      </w:r>
      <w:r w:rsidRPr="00E06EB0">
        <w:rPr>
          <w:rFonts w:ascii="Times New Roman" w:hAnsi="Times New Roman"/>
          <w:sz w:val="28"/>
        </w:rPr>
        <w:t>редсказательная способность</w:t>
      </w:r>
      <w:r>
        <w:rPr>
          <w:rFonts w:ascii="Times New Roman" w:hAnsi="Times New Roman"/>
          <w:sz w:val="28"/>
        </w:rPr>
        <w:t xml:space="preserve"> </w:t>
      </w:r>
      <w:r w:rsidRPr="00E06EB0">
        <w:rPr>
          <w:rFonts w:ascii="Times New Roman" w:hAnsi="Times New Roman"/>
          <w:sz w:val="28"/>
        </w:rPr>
        <w:t>модели</w:t>
      </w:r>
      <w:r>
        <w:rPr>
          <w:rFonts w:ascii="Times New Roman" w:hAnsi="Times New Roman"/>
          <w:sz w:val="28"/>
        </w:rPr>
        <w:t xml:space="preserve"> улучшилась,</w:t>
      </w:r>
      <w:r w:rsidRPr="00E06EB0">
        <w:rPr>
          <w:rFonts w:ascii="Times New Roman" w:hAnsi="Times New Roman"/>
          <w:sz w:val="28"/>
        </w:rPr>
        <w:t xml:space="preserve"> площадь криволинейной трапеции под </w:t>
      </w:r>
      <w:r w:rsidRPr="00E06EB0">
        <w:rPr>
          <w:rFonts w:ascii="Times New Roman" w:hAnsi="Times New Roman"/>
          <w:sz w:val="28"/>
          <w:lang w:val="en-US"/>
        </w:rPr>
        <w:t>ROC</w:t>
      </w:r>
      <w:r>
        <w:rPr>
          <w:rFonts w:ascii="Times New Roman" w:hAnsi="Times New Roman"/>
          <w:sz w:val="28"/>
        </w:rPr>
        <w:t xml:space="preserve">-кривой составила 0,8545. Полученные результаты подтверждают гипотезу о том, что степень влияния финансовых показателей может изменяться в зависимости от </w:t>
      </w:r>
      <w:proofErr w:type="spellStart"/>
      <w:r>
        <w:rPr>
          <w:rFonts w:ascii="Times New Roman" w:hAnsi="Times New Roman"/>
          <w:sz w:val="28"/>
        </w:rPr>
        <w:t>подотраслевой</w:t>
      </w:r>
      <w:proofErr w:type="spellEnd"/>
      <w:r>
        <w:rPr>
          <w:rFonts w:ascii="Times New Roman" w:hAnsi="Times New Roman"/>
          <w:sz w:val="28"/>
        </w:rPr>
        <w:t xml:space="preserve"> принадлежности фирмы и что учет данного типа эффектов может улучшить эффективность модели.</w:t>
      </w:r>
    </w:p>
    <w:p w:rsidR="00D94969" w:rsidRDefault="00D94969" w:rsidP="00BB2921">
      <w:pPr>
        <w:spacing w:after="0"/>
        <w:ind w:firstLine="709"/>
        <w:jc w:val="both"/>
      </w:pPr>
    </w:p>
    <w:p w:rsidR="00D94969" w:rsidRPr="00B1603E" w:rsidRDefault="00D94969" w:rsidP="00BB2921">
      <w:pPr>
        <w:spacing w:after="0"/>
        <w:ind w:firstLine="709"/>
        <w:jc w:val="center"/>
        <w:rPr>
          <w:b/>
        </w:rPr>
      </w:pPr>
      <w:r w:rsidRPr="00B1603E">
        <w:rPr>
          <w:b/>
        </w:rPr>
        <w:t>СПИСОК ИСТОЧНИКОВ</w:t>
      </w:r>
    </w:p>
    <w:p w:rsidR="007B352C" w:rsidRPr="000944B2" w:rsidRDefault="007B352C" w:rsidP="007B352C">
      <w:pPr>
        <w:pStyle w:val="a4"/>
        <w:spacing w:line="360" w:lineRule="auto"/>
        <w:ind w:firstLine="709"/>
        <w:jc w:val="both"/>
        <w:rPr>
          <w:rFonts w:ascii="Times New Roman" w:hAnsi="Times New Roman"/>
          <w:i/>
          <w:color w:val="000000"/>
          <w:szCs w:val="20"/>
        </w:rPr>
      </w:pPr>
      <w:r w:rsidRPr="009E28FB">
        <w:rPr>
          <w:rFonts w:ascii="Times New Roman" w:hAnsi="Times New Roman"/>
          <w:szCs w:val="28"/>
        </w:rPr>
        <w:t>Первое независимое рейтинговое агентство</w:t>
      </w:r>
      <w:r w:rsidRPr="000117E2">
        <w:rPr>
          <w:rFonts w:ascii="Times New Roman" w:hAnsi="Times New Roman"/>
          <w:szCs w:val="28"/>
        </w:rPr>
        <w:t xml:space="preserve"> [Электронный ресурс]. </w:t>
      </w:r>
      <w:r w:rsidRPr="000117E2">
        <w:rPr>
          <w:rFonts w:ascii="Times New Roman" w:hAnsi="Times New Roman"/>
          <w:szCs w:val="28"/>
          <w:lang w:val="en-US"/>
        </w:rPr>
        <w:t>URL</w:t>
      </w:r>
      <w:r w:rsidRPr="000944B2">
        <w:rPr>
          <w:rFonts w:ascii="Times New Roman" w:hAnsi="Times New Roman"/>
          <w:szCs w:val="28"/>
        </w:rPr>
        <w:t xml:space="preserve">: </w:t>
      </w:r>
      <w:r w:rsidRPr="000117E2">
        <w:rPr>
          <w:rFonts w:ascii="Times New Roman" w:hAnsi="Times New Roman"/>
          <w:szCs w:val="28"/>
          <w:lang w:val="en-US"/>
        </w:rPr>
        <w:t>http</w:t>
      </w:r>
      <w:r w:rsidRPr="000944B2">
        <w:rPr>
          <w:rFonts w:ascii="Times New Roman" w:hAnsi="Times New Roman"/>
          <w:szCs w:val="28"/>
        </w:rPr>
        <w:t>://</w:t>
      </w:r>
      <w:r w:rsidRPr="000117E2">
        <w:rPr>
          <w:rFonts w:ascii="Times New Roman" w:hAnsi="Times New Roman"/>
          <w:szCs w:val="28"/>
          <w:lang w:val="en-US"/>
        </w:rPr>
        <w:t>ww</w:t>
      </w:r>
      <w:bookmarkStart w:id="0" w:name="_GoBack"/>
      <w:bookmarkEnd w:id="0"/>
      <w:r w:rsidRPr="000117E2">
        <w:rPr>
          <w:rFonts w:ascii="Times New Roman" w:hAnsi="Times New Roman"/>
          <w:szCs w:val="28"/>
          <w:lang w:val="en-US"/>
        </w:rPr>
        <w:t>w</w:t>
      </w:r>
      <w:r w:rsidRPr="000944B2">
        <w:rPr>
          <w:rFonts w:ascii="Times New Roman" w:hAnsi="Times New Roman"/>
          <w:szCs w:val="28"/>
        </w:rPr>
        <w:t>.</w:t>
      </w:r>
      <w:proofErr w:type="spellStart"/>
      <w:r w:rsidRPr="000117E2">
        <w:rPr>
          <w:rFonts w:ascii="Times New Roman" w:hAnsi="Times New Roman"/>
          <w:szCs w:val="28"/>
          <w:lang w:val="en-US"/>
        </w:rPr>
        <w:t>fira</w:t>
      </w:r>
      <w:proofErr w:type="spellEnd"/>
      <w:r w:rsidRPr="000944B2">
        <w:rPr>
          <w:rFonts w:ascii="Times New Roman" w:hAnsi="Times New Roman"/>
          <w:szCs w:val="28"/>
        </w:rPr>
        <w:t>.</w:t>
      </w:r>
      <w:proofErr w:type="spellStart"/>
      <w:r w:rsidRPr="000117E2">
        <w:rPr>
          <w:rFonts w:ascii="Times New Roman" w:hAnsi="Times New Roman"/>
          <w:szCs w:val="28"/>
          <w:lang w:val="en-US"/>
        </w:rPr>
        <w:t>ru</w:t>
      </w:r>
      <w:proofErr w:type="spellEnd"/>
      <w:r w:rsidRPr="000944B2">
        <w:rPr>
          <w:rStyle w:val="apple-style-span"/>
          <w:rFonts w:ascii="Times New Roman" w:hAnsi="Times New Roman"/>
          <w:i/>
          <w:color w:val="000000"/>
          <w:szCs w:val="20"/>
        </w:rPr>
        <w:t xml:space="preserve"> </w:t>
      </w:r>
    </w:p>
    <w:p w:rsidR="00D94969" w:rsidRPr="000944B2" w:rsidRDefault="00D94969" w:rsidP="00CD2BB6">
      <w:pPr>
        <w:pStyle w:val="a4"/>
        <w:spacing w:line="360" w:lineRule="auto"/>
        <w:ind w:firstLine="709"/>
        <w:jc w:val="both"/>
        <w:rPr>
          <w:rFonts w:ascii="Times New Roman" w:hAnsi="Times New Roman"/>
          <w:color w:val="0D0D0D"/>
          <w:szCs w:val="28"/>
          <w:lang w:val="en-US"/>
        </w:rPr>
      </w:pPr>
      <w:proofErr w:type="spellStart"/>
      <w:r w:rsidRPr="00F80621">
        <w:rPr>
          <w:rFonts w:ascii="Times New Roman" w:hAnsi="Times New Roman"/>
          <w:i/>
          <w:color w:val="0D0D0D"/>
          <w:szCs w:val="28"/>
        </w:rPr>
        <w:t>Тотьмянина</w:t>
      </w:r>
      <w:proofErr w:type="spellEnd"/>
      <w:r w:rsidRPr="00F80621">
        <w:rPr>
          <w:rFonts w:ascii="Times New Roman" w:hAnsi="Times New Roman"/>
          <w:i/>
          <w:color w:val="0D0D0D"/>
          <w:szCs w:val="28"/>
        </w:rPr>
        <w:t xml:space="preserve"> К.М.</w:t>
      </w:r>
      <w:r w:rsidRPr="009E28FB">
        <w:rPr>
          <w:rFonts w:ascii="Times New Roman" w:hAnsi="Times New Roman"/>
          <w:color w:val="0D0D0D"/>
          <w:szCs w:val="28"/>
        </w:rPr>
        <w:t xml:space="preserve"> Оценка вероятности дефолта промышленных компаний на основе финансовых показателей // Финансовый менеджмент, 11(53), 2011.</w:t>
      </w:r>
      <w:r w:rsidRPr="00F80621">
        <w:rPr>
          <w:rFonts w:ascii="Times New Roman" w:hAnsi="Times New Roman"/>
          <w:color w:val="0D0D0D"/>
          <w:szCs w:val="28"/>
        </w:rPr>
        <w:t xml:space="preserve"> </w:t>
      </w:r>
      <w:r w:rsidRPr="000944B2">
        <w:rPr>
          <w:rFonts w:ascii="Times New Roman" w:hAnsi="Times New Roman"/>
          <w:color w:val="0D0D0D"/>
          <w:szCs w:val="28"/>
          <w:lang w:val="en-US"/>
        </w:rPr>
        <w:t xml:space="preserve">2 </w:t>
      </w:r>
      <w:r>
        <w:rPr>
          <w:rFonts w:ascii="Times New Roman" w:hAnsi="Times New Roman"/>
          <w:color w:val="0D0D0D"/>
          <w:szCs w:val="28"/>
        </w:rPr>
        <w:t>с</w:t>
      </w:r>
      <w:r w:rsidRPr="000944B2">
        <w:rPr>
          <w:rFonts w:ascii="Times New Roman" w:hAnsi="Times New Roman"/>
          <w:color w:val="0D0D0D"/>
          <w:szCs w:val="28"/>
          <w:lang w:val="en-US"/>
        </w:rPr>
        <w:t>.</w:t>
      </w:r>
    </w:p>
    <w:p w:rsidR="00D94969" w:rsidRPr="000944B2" w:rsidRDefault="00D94969" w:rsidP="00CD2BB6">
      <w:pPr>
        <w:pStyle w:val="a4"/>
        <w:spacing w:line="360" w:lineRule="auto"/>
        <w:ind w:firstLine="709"/>
        <w:jc w:val="both"/>
        <w:rPr>
          <w:rStyle w:val="apple-style-span"/>
          <w:rFonts w:ascii="Times New Roman" w:hAnsi="Times New Roman"/>
          <w:i/>
          <w:color w:val="000000"/>
          <w:szCs w:val="20"/>
        </w:rPr>
      </w:pPr>
      <w:proofErr w:type="spellStart"/>
      <w:r>
        <w:rPr>
          <w:rStyle w:val="apple-style-span"/>
          <w:rFonts w:ascii="Times New Roman" w:hAnsi="Times New Roman"/>
          <w:i/>
          <w:color w:val="000000"/>
          <w:szCs w:val="20"/>
          <w:lang w:val="en-US"/>
        </w:rPr>
        <w:t>Ivlie</w:t>
      </w:r>
      <w:r w:rsidRPr="00F80621">
        <w:rPr>
          <w:rStyle w:val="apple-style-span"/>
          <w:rFonts w:ascii="Times New Roman" w:hAnsi="Times New Roman"/>
          <w:i/>
          <w:color w:val="000000"/>
          <w:szCs w:val="20"/>
          <w:lang w:val="en-US"/>
        </w:rPr>
        <w:t>v</w:t>
      </w:r>
      <w:proofErr w:type="spellEnd"/>
      <w:r>
        <w:rPr>
          <w:rStyle w:val="apple-style-span"/>
          <w:rFonts w:ascii="Times New Roman" w:hAnsi="Times New Roman"/>
          <w:i/>
          <w:color w:val="000000"/>
          <w:szCs w:val="20"/>
          <w:lang w:val="en-US"/>
        </w:rPr>
        <w:t xml:space="preserve"> S.V.</w:t>
      </w:r>
      <w:r w:rsidRPr="00F80621">
        <w:rPr>
          <w:rStyle w:val="apple-style-span"/>
          <w:rFonts w:ascii="Times New Roman" w:hAnsi="Times New Roman"/>
          <w:i/>
          <w:color w:val="000000"/>
          <w:szCs w:val="20"/>
          <w:lang w:val="en-US"/>
        </w:rPr>
        <w:t xml:space="preserve"> </w:t>
      </w:r>
      <w:r w:rsidRPr="00F80621">
        <w:rPr>
          <w:rStyle w:val="apple-style-span"/>
          <w:rFonts w:ascii="Times New Roman" w:hAnsi="Times New Roman"/>
          <w:color w:val="000000"/>
          <w:szCs w:val="20"/>
          <w:lang w:val="en-US"/>
        </w:rPr>
        <w:t>Simple Fuzzy Score for Russian Public Companies Risk of Default // Preprint published at C</w:t>
      </w:r>
      <w:r>
        <w:rPr>
          <w:rStyle w:val="apple-style-span"/>
          <w:rFonts w:ascii="Times New Roman" w:hAnsi="Times New Roman"/>
          <w:color w:val="000000"/>
          <w:szCs w:val="20"/>
          <w:lang w:val="en-US"/>
        </w:rPr>
        <w:t xml:space="preserve">ornell University Library </w:t>
      </w:r>
      <w:proofErr w:type="spellStart"/>
      <w:r>
        <w:rPr>
          <w:rStyle w:val="apple-style-span"/>
          <w:rFonts w:ascii="Times New Roman" w:hAnsi="Times New Roman"/>
          <w:color w:val="000000"/>
          <w:szCs w:val="20"/>
          <w:lang w:val="en-US"/>
        </w:rPr>
        <w:t>arXiv</w:t>
      </w:r>
      <w:proofErr w:type="spellEnd"/>
      <w:r>
        <w:rPr>
          <w:rStyle w:val="apple-style-span"/>
          <w:rFonts w:ascii="Times New Roman" w:hAnsi="Times New Roman"/>
          <w:color w:val="000000"/>
          <w:szCs w:val="20"/>
          <w:lang w:val="en-US"/>
        </w:rPr>
        <w:t>, 2011.</w:t>
      </w:r>
      <w:r w:rsidRPr="00F80621">
        <w:rPr>
          <w:rStyle w:val="apple-style-span"/>
          <w:rFonts w:ascii="Times New Roman" w:hAnsi="Times New Roman"/>
          <w:color w:val="000000"/>
          <w:szCs w:val="20"/>
          <w:lang w:val="en-US"/>
        </w:rPr>
        <w:t xml:space="preserve"> </w:t>
      </w:r>
      <w:r>
        <w:rPr>
          <w:rStyle w:val="apple-style-span"/>
          <w:rFonts w:ascii="Times New Roman" w:hAnsi="Times New Roman"/>
          <w:color w:val="000000"/>
          <w:szCs w:val="20"/>
          <w:lang w:val="en-US"/>
        </w:rPr>
        <w:t>P</w:t>
      </w:r>
      <w:r w:rsidRPr="000944B2">
        <w:rPr>
          <w:rStyle w:val="apple-style-span"/>
          <w:rFonts w:ascii="Times New Roman" w:hAnsi="Times New Roman"/>
          <w:color w:val="000000"/>
          <w:szCs w:val="20"/>
        </w:rPr>
        <w:t>. 2</w:t>
      </w:r>
      <w:r w:rsidRPr="000944B2">
        <w:rPr>
          <w:rFonts w:eastAsia="MinionPro-It"/>
        </w:rPr>
        <w:t>–3</w:t>
      </w:r>
    </w:p>
    <w:p w:rsidR="00D94969" w:rsidRPr="000E04AB" w:rsidRDefault="00D94969" w:rsidP="00CD2BB6">
      <w:pPr>
        <w:spacing w:after="0"/>
        <w:ind w:firstLine="709"/>
        <w:jc w:val="both"/>
        <w:rPr>
          <w:rFonts w:eastAsia="MinionPro-It"/>
          <w:lang w:eastAsia="ru-RU"/>
        </w:rPr>
      </w:pPr>
    </w:p>
    <w:sectPr w:rsidR="00D94969" w:rsidRPr="000E04AB" w:rsidSect="00BB29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MinionPro-It">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D0CCE"/>
    <w:multiLevelType w:val="hybridMultilevel"/>
    <w:tmpl w:val="E8327AB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EB7"/>
    <w:rsid w:val="000117E2"/>
    <w:rsid w:val="00082B06"/>
    <w:rsid w:val="0009225F"/>
    <w:rsid w:val="000944B2"/>
    <w:rsid w:val="000E04AB"/>
    <w:rsid w:val="00115EE4"/>
    <w:rsid w:val="00153DD3"/>
    <w:rsid w:val="00357CF8"/>
    <w:rsid w:val="00424FE9"/>
    <w:rsid w:val="00511FED"/>
    <w:rsid w:val="005727C5"/>
    <w:rsid w:val="00574718"/>
    <w:rsid w:val="005A5E98"/>
    <w:rsid w:val="005D6559"/>
    <w:rsid w:val="00640EB7"/>
    <w:rsid w:val="006C3FCA"/>
    <w:rsid w:val="00723BB6"/>
    <w:rsid w:val="007734CC"/>
    <w:rsid w:val="007B352C"/>
    <w:rsid w:val="00826FF5"/>
    <w:rsid w:val="008A500E"/>
    <w:rsid w:val="008E3007"/>
    <w:rsid w:val="008F5E56"/>
    <w:rsid w:val="009028AC"/>
    <w:rsid w:val="0091208F"/>
    <w:rsid w:val="00936D79"/>
    <w:rsid w:val="00980E32"/>
    <w:rsid w:val="009E28FB"/>
    <w:rsid w:val="00A15438"/>
    <w:rsid w:val="00AC7976"/>
    <w:rsid w:val="00AC7BE0"/>
    <w:rsid w:val="00B1603E"/>
    <w:rsid w:val="00B47E40"/>
    <w:rsid w:val="00BB2921"/>
    <w:rsid w:val="00C052ED"/>
    <w:rsid w:val="00CD2BB6"/>
    <w:rsid w:val="00D94969"/>
    <w:rsid w:val="00DC6439"/>
    <w:rsid w:val="00E06EB0"/>
    <w:rsid w:val="00E25282"/>
    <w:rsid w:val="00E35D5C"/>
    <w:rsid w:val="00E6372A"/>
    <w:rsid w:val="00EA4BD0"/>
    <w:rsid w:val="00EC484A"/>
    <w:rsid w:val="00F80621"/>
    <w:rsid w:val="00FA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BB6"/>
    <w:pPr>
      <w:spacing w:after="200" w:line="360" w:lineRule="auto"/>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40EB7"/>
    <w:rPr>
      <w:rFonts w:cs="Times New Roman"/>
      <w:color w:val="0000FF"/>
      <w:u w:val="single"/>
    </w:rPr>
  </w:style>
  <w:style w:type="paragraph" w:styleId="a4">
    <w:name w:val="No Spacing"/>
    <w:uiPriority w:val="99"/>
    <w:qFormat/>
    <w:rsid w:val="00CD2BB6"/>
    <w:rPr>
      <w:rFonts w:ascii="Cambria" w:eastAsia="MS ??" w:hAnsi="Cambria"/>
      <w:sz w:val="24"/>
      <w:szCs w:val="24"/>
    </w:rPr>
  </w:style>
  <w:style w:type="character" w:customStyle="1" w:styleId="apple-style-span">
    <w:name w:val="apple-style-span"/>
    <w:uiPriority w:val="99"/>
    <w:rsid w:val="00CD2BB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1328</Words>
  <Characters>8886</Characters>
  <Application>Microsoft Office Word</Application>
  <DocSecurity>0</DocSecurity>
  <Lines>467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Wishful</dc:creator>
  <cp:keywords/>
  <dc:description/>
  <cp:lastModifiedBy>Wishful</cp:lastModifiedBy>
  <cp:revision>11</cp:revision>
  <dcterms:created xsi:type="dcterms:W3CDTF">2014-09-28T17:34:00Z</dcterms:created>
  <dcterms:modified xsi:type="dcterms:W3CDTF">2014-10-11T13:58:00Z</dcterms:modified>
</cp:coreProperties>
</file>