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E5" w:rsidRPr="00223B8E" w:rsidRDefault="00A72336" w:rsidP="00223B8E">
      <w:pPr>
        <w:pStyle w:val="a3"/>
        <w:tabs>
          <w:tab w:val="left" w:pos="2296"/>
        </w:tabs>
        <w:jc w:val="center"/>
        <w:rPr>
          <w:b/>
          <w:sz w:val="32"/>
          <w:szCs w:val="28"/>
        </w:rPr>
      </w:pPr>
      <w:r w:rsidRPr="00223B8E">
        <w:rPr>
          <w:b/>
          <w:sz w:val="32"/>
          <w:szCs w:val="28"/>
        </w:rPr>
        <w:t>ФАКТОРЫ ПРИМЕНЕНИЯ КОРРЕКТИРУЮЩИХ ПРЕДПИСАНИЙ В РОССИИ</w:t>
      </w:r>
    </w:p>
    <w:p w:rsidR="006C386A" w:rsidRDefault="006C386A" w:rsidP="006C386A">
      <w:pPr>
        <w:pStyle w:val="a3"/>
        <w:tabs>
          <w:tab w:val="left" w:pos="2296"/>
        </w:tabs>
        <w:jc w:val="center"/>
        <w:rPr>
          <w:b/>
          <w:szCs w:val="28"/>
        </w:rPr>
      </w:pPr>
    </w:p>
    <w:p w:rsidR="00257FD7" w:rsidRPr="00A72336" w:rsidRDefault="00257FD7" w:rsidP="00223B8E">
      <w:pPr>
        <w:pStyle w:val="a3"/>
        <w:spacing w:line="240" w:lineRule="auto"/>
        <w:jc w:val="right"/>
        <w:rPr>
          <w:b/>
          <w:i/>
        </w:rPr>
      </w:pPr>
      <w:r w:rsidRPr="00A72336">
        <w:rPr>
          <w:b/>
          <w:i/>
        </w:rPr>
        <w:t>Лагодюк Екатерина Владимировна</w:t>
      </w:r>
    </w:p>
    <w:p w:rsidR="00A72336" w:rsidRPr="00A72336" w:rsidRDefault="00A72336" w:rsidP="00223B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</w:rPr>
      </w:pPr>
      <w:r w:rsidRPr="00A72336">
        <w:rPr>
          <w:rFonts w:ascii="Times New Roman" w:eastAsia="Calibri" w:hAnsi="Times New Roman" w:cs="Times New Roman"/>
          <w:i/>
          <w:sz w:val="28"/>
        </w:rPr>
        <w:t xml:space="preserve">студент </w:t>
      </w:r>
      <w:r>
        <w:rPr>
          <w:rFonts w:ascii="Times New Roman" w:eastAsia="Calibri" w:hAnsi="Times New Roman" w:cs="Times New Roman"/>
          <w:i/>
          <w:sz w:val="28"/>
        </w:rPr>
        <w:t xml:space="preserve">4 </w:t>
      </w:r>
      <w:r w:rsidRPr="00A72336">
        <w:rPr>
          <w:rFonts w:ascii="Times New Roman" w:eastAsia="Calibri" w:hAnsi="Times New Roman" w:cs="Times New Roman"/>
          <w:i/>
          <w:sz w:val="28"/>
        </w:rPr>
        <w:t xml:space="preserve">курса </w:t>
      </w:r>
      <w:proofErr w:type="spellStart"/>
      <w:r w:rsidRPr="00A72336">
        <w:rPr>
          <w:rFonts w:ascii="Times New Roman" w:eastAsia="Calibri" w:hAnsi="Times New Roman" w:cs="Times New Roman"/>
          <w:i/>
          <w:sz w:val="28"/>
        </w:rPr>
        <w:t>бакалавриата</w:t>
      </w:r>
      <w:proofErr w:type="spellEnd"/>
      <w:r w:rsidRPr="00A72336">
        <w:rPr>
          <w:rFonts w:ascii="Times New Roman" w:eastAsia="Calibri" w:hAnsi="Times New Roman" w:cs="Times New Roman"/>
          <w:i/>
          <w:sz w:val="28"/>
        </w:rPr>
        <w:t>, факультет экономики</w:t>
      </w:r>
    </w:p>
    <w:p w:rsidR="00A72336" w:rsidRPr="00A72336" w:rsidRDefault="00A72336" w:rsidP="00223B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</w:rPr>
      </w:pPr>
      <w:r w:rsidRPr="00A72336">
        <w:rPr>
          <w:rFonts w:ascii="Times New Roman" w:eastAsia="Calibri" w:hAnsi="Times New Roman" w:cs="Times New Roman"/>
          <w:i/>
          <w:sz w:val="28"/>
        </w:rPr>
        <w:t>НИУ ВШЭ – Пермь, г. Пермь</w:t>
      </w:r>
    </w:p>
    <w:p w:rsidR="00A72336" w:rsidRPr="00223B8E" w:rsidRDefault="00A72336" w:rsidP="00223B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</w:rPr>
      </w:pPr>
      <w:r w:rsidRPr="00A72336">
        <w:rPr>
          <w:rFonts w:ascii="Times New Roman" w:eastAsia="Calibri" w:hAnsi="Times New Roman" w:cs="Times New Roman"/>
          <w:i/>
          <w:sz w:val="28"/>
          <w:lang w:val="en-US"/>
        </w:rPr>
        <w:t>E</w:t>
      </w:r>
      <w:r w:rsidRPr="00223B8E">
        <w:rPr>
          <w:rFonts w:ascii="Times New Roman" w:eastAsia="Calibri" w:hAnsi="Times New Roman" w:cs="Times New Roman"/>
          <w:i/>
          <w:sz w:val="28"/>
        </w:rPr>
        <w:t>-</w:t>
      </w:r>
      <w:r w:rsidRPr="00A72336">
        <w:rPr>
          <w:rFonts w:ascii="Times New Roman" w:eastAsia="Calibri" w:hAnsi="Times New Roman" w:cs="Times New Roman"/>
          <w:i/>
          <w:sz w:val="28"/>
          <w:lang w:val="en-US"/>
        </w:rPr>
        <w:t>mail</w:t>
      </w:r>
      <w:r w:rsidRPr="00223B8E">
        <w:rPr>
          <w:rFonts w:ascii="Times New Roman" w:eastAsia="Calibri" w:hAnsi="Times New Roman" w:cs="Times New Roman"/>
          <w:i/>
          <w:sz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i/>
          <w:color w:val="0000FF"/>
          <w:sz w:val="28"/>
          <w:u w:val="single"/>
          <w:lang w:val="en-US"/>
        </w:rPr>
        <w:t>lk</w:t>
      </w:r>
      <w:proofErr w:type="spellEnd"/>
      <w:r w:rsidRPr="00223B8E">
        <w:rPr>
          <w:rFonts w:ascii="Times New Roman" w:eastAsia="Calibri" w:hAnsi="Times New Roman" w:cs="Times New Roman"/>
          <w:i/>
          <w:color w:val="0000FF"/>
          <w:sz w:val="28"/>
          <w:u w:val="single"/>
        </w:rPr>
        <w:t>_</w:t>
      </w:r>
      <w:r>
        <w:rPr>
          <w:rFonts w:ascii="Times New Roman" w:eastAsia="Calibri" w:hAnsi="Times New Roman" w:cs="Times New Roman"/>
          <w:i/>
          <w:color w:val="0000FF"/>
          <w:sz w:val="28"/>
          <w:u w:val="single"/>
          <w:lang w:val="en-US"/>
        </w:rPr>
        <w:t>box</w:t>
      </w:r>
      <w:r w:rsidRPr="00223B8E">
        <w:rPr>
          <w:rFonts w:ascii="Times New Roman" w:eastAsia="Calibri" w:hAnsi="Times New Roman" w:cs="Times New Roman"/>
          <w:i/>
          <w:color w:val="0000FF"/>
          <w:sz w:val="28"/>
          <w:u w:val="single"/>
        </w:rPr>
        <w:t>@</w:t>
      </w:r>
      <w:r>
        <w:rPr>
          <w:rFonts w:ascii="Times New Roman" w:eastAsia="Calibri" w:hAnsi="Times New Roman" w:cs="Times New Roman"/>
          <w:i/>
          <w:color w:val="0000FF"/>
          <w:sz w:val="28"/>
          <w:u w:val="single"/>
          <w:lang w:val="en-US"/>
        </w:rPr>
        <w:t>mail</w:t>
      </w:r>
      <w:r w:rsidRPr="00223B8E">
        <w:rPr>
          <w:rFonts w:ascii="Times New Roman" w:eastAsia="Calibri" w:hAnsi="Times New Roman" w:cs="Times New Roman"/>
          <w:i/>
          <w:color w:val="0000FF"/>
          <w:sz w:val="28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i/>
          <w:color w:val="0000FF"/>
          <w:sz w:val="28"/>
          <w:u w:val="single"/>
          <w:lang w:val="en-US"/>
        </w:rPr>
        <w:t>ru</w:t>
      </w:r>
      <w:proofErr w:type="spellEnd"/>
    </w:p>
    <w:p w:rsidR="00A72336" w:rsidRPr="00223B8E" w:rsidRDefault="00A72336" w:rsidP="00223B8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</w:rPr>
      </w:pPr>
    </w:p>
    <w:p w:rsidR="00A72336" w:rsidRDefault="00A72336" w:rsidP="00223B8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A72336">
        <w:rPr>
          <w:rFonts w:ascii="Times New Roman" w:eastAsia="Calibri" w:hAnsi="Times New Roman" w:cs="Times New Roman"/>
          <w:b/>
          <w:i/>
          <w:sz w:val="28"/>
        </w:rPr>
        <w:t xml:space="preserve"> Научный руководитель: </w:t>
      </w:r>
      <w:r>
        <w:rPr>
          <w:rFonts w:ascii="Times New Roman" w:eastAsia="Calibri" w:hAnsi="Times New Roman" w:cs="Times New Roman"/>
          <w:b/>
          <w:i/>
          <w:sz w:val="28"/>
        </w:rPr>
        <w:t>Редькина А.Ю.</w:t>
      </w:r>
    </w:p>
    <w:p w:rsidR="009C5110" w:rsidRPr="009C5110" w:rsidRDefault="009C5110" w:rsidP="00223B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старший преподаватель кафедры экономической теории</w:t>
      </w:r>
    </w:p>
    <w:p w:rsidR="00A72336" w:rsidRPr="00A72336" w:rsidRDefault="00A72336" w:rsidP="00223B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</w:rPr>
      </w:pPr>
      <w:r w:rsidRPr="00A72336">
        <w:rPr>
          <w:rFonts w:ascii="Times New Roman" w:eastAsia="Calibri" w:hAnsi="Times New Roman" w:cs="Times New Roman"/>
          <w:i/>
          <w:sz w:val="28"/>
        </w:rPr>
        <w:t>НИУ ВШЭ – Пермь, г. Пермь</w:t>
      </w:r>
    </w:p>
    <w:p w:rsidR="00A72336" w:rsidRPr="00A72336" w:rsidRDefault="00A72336" w:rsidP="00223B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u w:val="single"/>
        </w:rPr>
      </w:pPr>
      <w:r w:rsidRPr="00A72336">
        <w:rPr>
          <w:rFonts w:ascii="Times New Roman" w:eastAsia="Calibri" w:hAnsi="Times New Roman" w:cs="Times New Roman"/>
          <w:i/>
          <w:sz w:val="28"/>
          <w:lang w:val="en-US"/>
        </w:rPr>
        <w:t>E</w:t>
      </w:r>
      <w:r w:rsidRPr="00223B8E">
        <w:rPr>
          <w:rFonts w:ascii="Times New Roman" w:eastAsia="Calibri" w:hAnsi="Times New Roman" w:cs="Times New Roman"/>
          <w:i/>
          <w:sz w:val="28"/>
        </w:rPr>
        <w:t>-</w:t>
      </w:r>
      <w:r w:rsidRPr="00A72336">
        <w:rPr>
          <w:rFonts w:ascii="Times New Roman" w:eastAsia="Calibri" w:hAnsi="Times New Roman" w:cs="Times New Roman"/>
          <w:i/>
          <w:sz w:val="28"/>
          <w:lang w:val="en-US"/>
        </w:rPr>
        <w:t>mail</w:t>
      </w:r>
      <w:r w:rsidRPr="00223B8E">
        <w:rPr>
          <w:rFonts w:ascii="Times New Roman" w:eastAsia="Calibri" w:hAnsi="Times New Roman" w:cs="Times New Roman"/>
          <w:i/>
          <w:sz w:val="28"/>
        </w:rPr>
        <w:t xml:space="preserve">: </w:t>
      </w:r>
      <w:proofErr w:type="spellStart"/>
      <w:r w:rsidRPr="00A72336">
        <w:rPr>
          <w:rFonts w:ascii="Times New Roman" w:eastAsia="Calibri" w:hAnsi="Times New Roman" w:cs="Times New Roman"/>
          <w:i/>
          <w:color w:val="0000FF"/>
          <w:sz w:val="28"/>
          <w:u w:val="single"/>
          <w:lang w:val="en-US"/>
        </w:rPr>
        <w:t>redray</w:t>
      </w:r>
      <w:proofErr w:type="spellEnd"/>
      <w:r w:rsidRPr="00223B8E">
        <w:rPr>
          <w:rFonts w:ascii="Times New Roman" w:eastAsia="Calibri" w:hAnsi="Times New Roman" w:cs="Times New Roman"/>
          <w:i/>
          <w:color w:val="0000FF"/>
          <w:sz w:val="28"/>
          <w:u w:val="single"/>
        </w:rPr>
        <w:t>07@</w:t>
      </w:r>
      <w:r w:rsidRPr="00A72336">
        <w:rPr>
          <w:rFonts w:ascii="Times New Roman" w:eastAsia="Calibri" w:hAnsi="Times New Roman" w:cs="Times New Roman"/>
          <w:i/>
          <w:color w:val="0000FF"/>
          <w:sz w:val="28"/>
          <w:u w:val="single"/>
          <w:lang w:val="en-US"/>
        </w:rPr>
        <w:t>mail</w:t>
      </w:r>
      <w:r w:rsidRPr="00223B8E">
        <w:rPr>
          <w:rFonts w:ascii="Times New Roman" w:eastAsia="Calibri" w:hAnsi="Times New Roman" w:cs="Times New Roman"/>
          <w:i/>
          <w:color w:val="0000FF"/>
          <w:sz w:val="28"/>
          <w:u w:val="single"/>
        </w:rPr>
        <w:t>.</w:t>
      </w:r>
      <w:proofErr w:type="spellStart"/>
      <w:r w:rsidRPr="00A72336">
        <w:rPr>
          <w:rFonts w:ascii="Times New Roman" w:eastAsia="Calibri" w:hAnsi="Times New Roman" w:cs="Times New Roman"/>
          <w:i/>
          <w:color w:val="0000FF"/>
          <w:sz w:val="28"/>
          <w:u w:val="single"/>
          <w:lang w:val="en-US"/>
        </w:rPr>
        <w:t>ru</w:t>
      </w:r>
      <w:proofErr w:type="spellEnd"/>
    </w:p>
    <w:p w:rsidR="00A72336" w:rsidRPr="00223B8E" w:rsidRDefault="00A72336" w:rsidP="00257FD7">
      <w:pPr>
        <w:pStyle w:val="a3"/>
        <w:jc w:val="right"/>
      </w:pPr>
    </w:p>
    <w:p w:rsidR="008A48BC" w:rsidRPr="00223B8E" w:rsidRDefault="008A48BC" w:rsidP="00223B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8A48BC">
        <w:rPr>
          <w:rFonts w:ascii="Times New Roman" w:eastAsia="Calibri" w:hAnsi="Times New Roman" w:cs="Times New Roman"/>
          <w:b/>
          <w:sz w:val="28"/>
          <w:lang w:val="en-US"/>
        </w:rPr>
        <w:t>ABSTRACT</w:t>
      </w:r>
    </w:p>
    <w:p w:rsidR="008A48BC" w:rsidRPr="00F44262" w:rsidRDefault="008A48BC" w:rsidP="00223B8E">
      <w:pPr>
        <w:pStyle w:val="a3"/>
        <w:rPr>
          <w:i/>
          <w:lang w:val="en-US"/>
        </w:rPr>
      </w:pPr>
      <w:r>
        <w:rPr>
          <w:i/>
          <w:lang w:val="en-US"/>
        </w:rPr>
        <w:t>This research is devoted to</w:t>
      </w:r>
      <w:r w:rsidRPr="00F44262">
        <w:rPr>
          <w:lang w:val="en-US"/>
        </w:rPr>
        <w:t xml:space="preserve"> </w:t>
      </w:r>
      <w:r w:rsidRPr="00F44262">
        <w:rPr>
          <w:i/>
          <w:lang w:val="en-US"/>
        </w:rPr>
        <w:t xml:space="preserve">the assessment of </w:t>
      </w:r>
      <w:r>
        <w:rPr>
          <w:i/>
          <w:lang w:val="en-US"/>
        </w:rPr>
        <w:t xml:space="preserve">merger control quality in Russia. </w:t>
      </w:r>
      <w:r w:rsidRPr="00C12194">
        <w:rPr>
          <w:i/>
          <w:lang w:val="en-US"/>
        </w:rPr>
        <w:t>We need to understand whether the logic</w:t>
      </w:r>
      <w:r>
        <w:rPr>
          <w:i/>
          <w:lang w:val="en-US"/>
        </w:rPr>
        <w:t xml:space="preserve"> </w:t>
      </w:r>
      <w:r w:rsidRPr="00F44262">
        <w:rPr>
          <w:i/>
          <w:lang w:val="en-US"/>
        </w:rPr>
        <w:t>underlying FAS</w:t>
      </w:r>
      <w:r>
        <w:rPr>
          <w:i/>
          <w:lang w:val="en-US"/>
        </w:rPr>
        <w:t xml:space="preserve"> merger</w:t>
      </w:r>
      <w:r w:rsidRPr="00F44262">
        <w:rPr>
          <w:i/>
          <w:lang w:val="en-US"/>
        </w:rPr>
        <w:t xml:space="preserve"> </w:t>
      </w:r>
      <w:r>
        <w:rPr>
          <w:i/>
          <w:lang w:val="en-US"/>
        </w:rPr>
        <w:t xml:space="preserve">decisions corresponds to </w:t>
      </w:r>
      <w:r w:rsidRPr="00C12194">
        <w:rPr>
          <w:i/>
          <w:lang w:val="en-US"/>
        </w:rPr>
        <w:t>economic theory that can talk about the</w:t>
      </w:r>
      <w:r>
        <w:rPr>
          <w:i/>
          <w:lang w:val="en-US"/>
        </w:rPr>
        <w:t>ir</w:t>
      </w:r>
      <w:r w:rsidRPr="00C12194">
        <w:rPr>
          <w:i/>
          <w:lang w:val="en-US"/>
        </w:rPr>
        <w:t xml:space="preserve"> quality</w:t>
      </w:r>
      <w:r>
        <w:rPr>
          <w:i/>
          <w:lang w:val="en-US"/>
        </w:rPr>
        <w:t>.</w:t>
      </w:r>
      <w:r w:rsidRPr="00C12194">
        <w:rPr>
          <w:i/>
          <w:lang w:val="en-US"/>
        </w:rPr>
        <w:t xml:space="preserve"> To do this, the analysis of factors</w:t>
      </w:r>
      <w:r>
        <w:rPr>
          <w:i/>
          <w:lang w:val="en-US"/>
        </w:rPr>
        <w:t xml:space="preserve"> </w:t>
      </w:r>
      <w:r w:rsidRPr="00C12194">
        <w:rPr>
          <w:i/>
          <w:lang w:val="en-US"/>
        </w:rPr>
        <w:t xml:space="preserve">influence </w:t>
      </w:r>
      <w:r>
        <w:rPr>
          <w:i/>
          <w:lang w:val="en-US"/>
        </w:rPr>
        <w:t>was conducted</w:t>
      </w:r>
      <w:r w:rsidRPr="00C12194">
        <w:rPr>
          <w:i/>
          <w:lang w:val="en-US"/>
        </w:rPr>
        <w:t xml:space="preserve"> based on binary choice</w:t>
      </w:r>
      <w:r w:rsidRPr="00455AED">
        <w:rPr>
          <w:i/>
          <w:lang w:val="en-US"/>
        </w:rPr>
        <w:t xml:space="preserve"> </w:t>
      </w:r>
      <w:r>
        <w:rPr>
          <w:i/>
          <w:lang w:val="en-US"/>
        </w:rPr>
        <w:t>models.</w:t>
      </w:r>
    </w:p>
    <w:p w:rsidR="008A48BC" w:rsidRPr="00223B8E" w:rsidRDefault="008A48BC" w:rsidP="00223B8E">
      <w:pPr>
        <w:pStyle w:val="a3"/>
        <w:rPr>
          <w:b/>
          <w:i/>
          <w:lang w:val="en-US"/>
        </w:rPr>
      </w:pPr>
      <w:r w:rsidRPr="003C746F">
        <w:rPr>
          <w:b/>
          <w:lang w:val="en-US"/>
        </w:rPr>
        <w:t>Keywords</w:t>
      </w:r>
      <w:r w:rsidRPr="008A48BC">
        <w:rPr>
          <w:b/>
          <w:i/>
          <w:lang w:val="en-US"/>
        </w:rPr>
        <w:t xml:space="preserve">: </w:t>
      </w:r>
      <w:r w:rsidRPr="008A48BC">
        <w:rPr>
          <w:i/>
          <w:lang w:val="en-US"/>
        </w:rPr>
        <w:t>merger control, merger</w:t>
      </w:r>
      <w:r w:rsidR="00223B8E">
        <w:rPr>
          <w:i/>
          <w:lang w:val="en-US"/>
        </w:rPr>
        <w:t xml:space="preserve"> remedies, binary choice models</w:t>
      </w:r>
    </w:p>
    <w:p w:rsidR="00D5489D" w:rsidRPr="00223B8E" w:rsidRDefault="00D5489D" w:rsidP="00223B8E">
      <w:pPr>
        <w:pStyle w:val="a3"/>
        <w:rPr>
          <w:lang w:val="en-US"/>
        </w:rPr>
      </w:pPr>
    </w:p>
    <w:p w:rsidR="008A48BC" w:rsidRPr="008A48BC" w:rsidRDefault="008A48BC" w:rsidP="00223B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A48BC">
        <w:rPr>
          <w:rFonts w:ascii="Times New Roman" w:eastAsia="Calibri" w:hAnsi="Times New Roman" w:cs="Times New Roman"/>
          <w:b/>
          <w:sz w:val="28"/>
        </w:rPr>
        <w:t>АННОТАЦИЯ</w:t>
      </w:r>
    </w:p>
    <w:p w:rsidR="008C797C" w:rsidRPr="008A48BC" w:rsidRDefault="001649E7" w:rsidP="00223B8E">
      <w:pPr>
        <w:pStyle w:val="a3"/>
        <w:rPr>
          <w:i/>
        </w:rPr>
      </w:pPr>
      <w:r>
        <w:rPr>
          <w:i/>
        </w:rPr>
        <w:t xml:space="preserve">Данная работа посвящена оценке </w:t>
      </w:r>
      <w:r w:rsidR="00DD65C6">
        <w:rPr>
          <w:i/>
        </w:rPr>
        <w:t xml:space="preserve">качества контроля слияний в России. </w:t>
      </w:r>
      <w:r w:rsidR="00BB7E35">
        <w:rPr>
          <w:i/>
        </w:rPr>
        <w:t>Необходимо понять, соответствует ли</w:t>
      </w:r>
      <w:r w:rsidR="00DD65C6">
        <w:rPr>
          <w:i/>
        </w:rPr>
        <w:t xml:space="preserve"> </w:t>
      </w:r>
      <w:r w:rsidR="00BB7E35">
        <w:rPr>
          <w:i/>
        </w:rPr>
        <w:t>л</w:t>
      </w:r>
      <w:r w:rsidR="004E0822">
        <w:rPr>
          <w:i/>
        </w:rPr>
        <w:t>огика</w:t>
      </w:r>
      <w:r w:rsidR="00DD65C6">
        <w:rPr>
          <w:i/>
        </w:rPr>
        <w:t>,</w:t>
      </w:r>
      <w:r w:rsidR="00DD65C6" w:rsidRPr="00DD65C6">
        <w:rPr>
          <w:i/>
        </w:rPr>
        <w:t xml:space="preserve"> </w:t>
      </w:r>
      <w:r w:rsidR="00DD65C6">
        <w:rPr>
          <w:i/>
        </w:rPr>
        <w:t xml:space="preserve">лежащая в основе решений ФАС по слияниям, </w:t>
      </w:r>
      <w:r w:rsidR="004E0822">
        <w:rPr>
          <w:i/>
        </w:rPr>
        <w:t>экономической теории</w:t>
      </w:r>
      <w:r w:rsidR="00621019">
        <w:rPr>
          <w:i/>
        </w:rPr>
        <w:t>, что может говорить о</w:t>
      </w:r>
      <w:r w:rsidR="004E74DA">
        <w:rPr>
          <w:i/>
        </w:rPr>
        <w:t>б их</w:t>
      </w:r>
      <w:r w:rsidR="00621019">
        <w:rPr>
          <w:i/>
        </w:rPr>
        <w:t xml:space="preserve"> качестве.</w:t>
      </w:r>
      <w:r w:rsidR="00BB7E35">
        <w:rPr>
          <w:i/>
        </w:rPr>
        <w:t xml:space="preserve"> </w:t>
      </w:r>
      <w:r w:rsidR="00621019">
        <w:rPr>
          <w:i/>
        </w:rPr>
        <w:t>Для этого проведен анализ влияния факторов на основе построения моделей бинарного выбора.</w:t>
      </w:r>
    </w:p>
    <w:p w:rsidR="00D5489D" w:rsidRPr="00364F3C" w:rsidRDefault="009621F5" w:rsidP="00223B8E">
      <w:pPr>
        <w:pStyle w:val="a3"/>
      </w:pPr>
      <w:r w:rsidRPr="009621F5">
        <w:rPr>
          <w:b/>
        </w:rPr>
        <w:t>Ключевые слова:</w:t>
      </w:r>
      <w:r w:rsidRPr="009621F5">
        <w:t xml:space="preserve"> </w:t>
      </w:r>
      <w:r w:rsidRPr="008A48BC">
        <w:rPr>
          <w:i/>
        </w:rPr>
        <w:t>контроль слияний, корректирующие предписания</w:t>
      </w:r>
      <w:r w:rsidR="006706BA" w:rsidRPr="008A48BC">
        <w:rPr>
          <w:i/>
        </w:rPr>
        <w:t xml:space="preserve">, </w:t>
      </w:r>
      <w:r w:rsidR="00223B8E">
        <w:rPr>
          <w:i/>
        </w:rPr>
        <w:t>модели бинарного выбора</w:t>
      </w:r>
    </w:p>
    <w:p w:rsidR="008C797C" w:rsidRPr="008A48BC" w:rsidRDefault="008C797C" w:rsidP="00223B8E">
      <w:pPr>
        <w:pStyle w:val="a3"/>
      </w:pPr>
    </w:p>
    <w:p w:rsidR="008C797C" w:rsidRPr="00223B8E" w:rsidRDefault="008C797C" w:rsidP="00223B8E">
      <w:pPr>
        <w:pStyle w:val="a3"/>
        <w:jc w:val="left"/>
        <w:rPr>
          <w:b/>
        </w:rPr>
      </w:pPr>
      <w:r w:rsidRPr="00223B8E">
        <w:rPr>
          <w:b/>
        </w:rPr>
        <w:t>Введение</w:t>
      </w:r>
    </w:p>
    <w:p w:rsidR="00D93045" w:rsidRDefault="0051609B" w:rsidP="00223B8E">
      <w:pPr>
        <w:pStyle w:val="a3"/>
        <w:rPr>
          <w:szCs w:val="28"/>
        </w:rPr>
      </w:pPr>
      <w:r w:rsidRPr="00752A4A">
        <w:rPr>
          <w:szCs w:val="28"/>
        </w:rPr>
        <w:t>Для того чтобы сохранить существенные для общества положительные эффекты</w:t>
      </w:r>
      <w:r>
        <w:rPr>
          <w:szCs w:val="28"/>
        </w:rPr>
        <w:t>, возникающие в результате слияния,</w:t>
      </w:r>
      <w:r w:rsidRPr="00752A4A">
        <w:rPr>
          <w:szCs w:val="28"/>
        </w:rPr>
        <w:t xml:space="preserve"> и при этом элиминировать возможное негативное влияние, </w:t>
      </w:r>
      <w:r>
        <w:rPr>
          <w:szCs w:val="28"/>
        </w:rPr>
        <w:t xml:space="preserve">антимонопольный орган </w:t>
      </w:r>
      <w:r w:rsidRPr="00752A4A">
        <w:rPr>
          <w:szCs w:val="28"/>
        </w:rPr>
        <w:t xml:space="preserve">применяет </w:t>
      </w:r>
      <w:r w:rsidRPr="00752A4A">
        <w:rPr>
          <w:szCs w:val="28"/>
        </w:rPr>
        <w:lastRenderedPageBreak/>
        <w:t>корректирующи</w:t>
      </w:r>
      <w:r w:rsidR="000526FC">
        <w:rPr>
          <w:szCs w:val="28"/>
        </w:rPr>
        <w:t>е</w:t>
      </w:r>
      <w:r w:rsidRPr="00752A4A">
        <w:rPr>
          <w:szCs w:val="28"/>
        </w:rPr>
        <w:t xml:space="preserve"> предписани</w:t>
      </w:r>
      <w:r w:rsidR="000526FC">
        <w:rPr>
          <w:szCs w:val="28"/>
        </w:rPr>
        <w:t>я</w:t>
      </w:r>
      <w:r w:rsidRPr="00752A4A">
        <w:rPr>
          <w:szCs w:val="28"/>
        </w:rPr>
        <w:t xml:space="preserve"> (</w:t>
      </w:r>
      <w:r w:rsidRPr="00752A4A">
        <w:rPr>
          <w:i/>
          <w:szCs w:val="28"/>
          <w:lang w:val="en-US"/>
        </w:rPr>
        <w:t>remedies</w:t>
      </w:r>
      <w:r w:rsidR="00296723">
        <w:rPr>
          <w:szCs w:val="28"/>
        </w:rPr>
        <w:t xml:space="preserve">), которые бывают </w:t>
      </w:r>
      <w:r w:rsidR="00296723" w:rsidRPr="007E61D0">
        <w:rPr>
          <w:i/>
          <w:szCs w:val="28"/>
        </w:rPr>
        <w:t>поведенческими</w:t>
      </w:r>
      <w:r w:rsidR="00296723">
        <w:rPr>
          <w:szCs w:val="28"/>
        </w:rPr>
        <w:t xml:space="preserve"> и </w:t>
      </w:r>
      <w:r w:rsidR="00296723" w:rsidRPr="007E61D0">
        <w:rPr>
          <w:i/>
          <w:szCs w:val="28"/>
        </w:rPr>
        <w:t>структурными.</w:t>
      </w:r>
    </w:p>
    <w:p w:rsidR="004C5624" w:rsidRPr="00D93045" w:rsidRDefault="00F85B97" w:rsidP="00D93045">
      <w:pPr>
        <w:pStyle w:val="a3"/>
        <w:rPr>
          <w:szCs w:val="28"/>
        </w:rPr>
      </w:pPr>
      <w:r>
        <w:rPr>
          <w:szCs w:val="24"/>
        </w:rPr>
        <w:t xml:space="preserve">Изучение видов слияний (вертикальные и горизонтальные) и их возможных последствий показало, что они требуют </w:t>
      </w:r>
      <w:r w:rsidRPr="00F80D2F">
        <w:rPr>
          <w:szCs w:val="24"/>
        </w:rPr>
        <w:t>различного подхода к регулированию</w:t>
      </w:r>
      <w:r>
        <w:rPr>
          <w:szCs w:val="24"/>
        </w:rPr>
        <w:t xml:space="preserve"> (</w:t>
      </w:r>
      <w:r w:rsidRPr="009E7911">
        <w:rPr>
          <w:szCs w:val="24"/>
          <w:lang w:val="en-US"/>
        </w:rPr>
        <w:t>Motta</w:t>
      </w:r>
      <w:r w:rsidRPr="009E7911">
        <w:rPr>
          <w:szCs w:val="24"/>
        </w:rPr>
        <w:t xml:space="preserve"> </w:t>
      </w:r>
      <w:r w:rsidRPr="009E7911">
        <w:rPr>
          <w:szCs w:val="24"/>
          <w:lang w:val="en-US"/>
        </w:rPr>
        <w:t>M</w:t>
      </w:r>
      <w:r w:rsidRPr="009E7911">
        <w:rPr>
          <w:szCs w:val="24"/>
        </w:rPr>
        <w:t xml:space="preserve">., </w:t>
      </w:r>
      <w:r>
        <w:rPr>
          <w:szCs w:val="24"/>
        </w:rPr>
        <w:t>200</w:t>
      </w:r>
      <w:r w:rsidRPr="003D1EA3">
        <w:rPr>
          <w:szCs w:val="24"/>
        </w:rPr>
        <w:t>4</w:t>
      </w:r>
      <w:r>
        <w:rPr>
          <w:szCs w:val="24"/>
        </w:rPr>
        <w:t>)</w:t>
      </w:r>
      <w:r w:rsidRPr="00F80D2F">
        <w:rPr>
          <w:szCs w:val="24"/>
        </w:rPr>
        <w:t>.</w:t>
      </w:r>
      <w:r>
        <w:rPr>
          <w:szCs w:val="24"/>
        </w:rPr>
        <w:t xml:space="preserve"> В</w:t>
      </w:r>
      <w:r w:rsidRPr="00941A8C">
        <w:rPr>
          <w:szCs w:val="24"/>
        </w:rPr>
        <w:t xml:space="preserve">ажно понять, какие виды предписаний лучше всего </w:t>
      </w:r>
      <w:r>
        <w:rPr>
          <w:szCs w:val="24"/>
        </w:rPr>
        <w:t xml:space="preserve">устраняют негативные последствия </w:t>
      </w:r>
      <w:r w:rsidRPr="00941A8C">
        <w:rPr>
          <w:szCs w:val="24"/>
        </w:rPr>
        <w:t>разных типов слияний с точки зрения экономической теории. Соответствие выданных ФАС корректирующих предписаний экономической теории може</w:t>
      </w:r>
      <w:r>
        <w:rPr>
          <w:szCs w:val="24"/>
        </w:rPr>
        <w:t>т быть показателем их качества.</w:t>
      </w:r>
    </w:p>
    <w:p w:rsidR="006F7211" w:rsidRDefault="00981C75" w:rsidP="00873613">
      <w:pPr>
        <w:pStyle w:val="a3"/>
        <w:rPr>
          <w:rFonts w:eastAsia="Calibri" w:cs="Times New Roman"/>
        </w:rPr>
      </w:pPr>
      <w:r w:rsidRPr="00981C75">
        <w:rPr>
          <w:szCs w:val="24"/>
        </w:rPr>
        <w:t>Американские</w:t>
      </w:r>
      <w:r>
        <w:rPr>
          <w:szCs w:val="24"/>
        </w:rPr>
        <w:t xml:space="preserve"> </w:t>
      </w:r>
      <w:r w:rsidR="00873613">
        <w:rPr>
          <w:szCs w:val="24"/>
        </w:rPr>
        <w:t>и европейские</w:t>
      </w:r>
      <w:r w:rsidR="00873613" w:rsidRPr="00873613">
        <w:rPr>
          <w:szCs w:val="24"/>
        </w:rPr>
        <w:t xml:space="preserve"> </w:t>
      </w:r>
      <w:r w:rsidRPr="00981C75">
        <w:rPr>
          <w:szCs w:val="24"/>
        </w:rPr>
        <w:t xml:space="preserve">исследователи занимаются изучением </w:t>
      </w:r>
      <w:r w:rsidR="00A541CF">
        <w:rPr>
          <w:szCs w:val="24"/>
        </w:rPr>
        <w:t xml:space="preserve">регулирования сделок слияния </w:t>
      </w:r>
      <w:r w:rsidRPr="00981C75">
        <w:rPr>
          <w:szCs w:val="24"/>
        </w:rPr>
        <w:t>как на качественном</w:t>
      </w:r>
      <w:r w:rsidR="005F1B77" w:rsidRPr="005F1B77">
        <w:rPr>
          <w:szCs w:val="24"/>
        </w:rPr>
        <w:t xml:space="preserve"> </w:t>
      </w:r>
      <w:r w:rsidR="005F1B77" w:rsidRPr="00CB06D9">
        <w:rPr>
          <w:rFonts w:eastAsia="Calibri" w:cs="Times New Roman"/>
        </w:rPr>
        <w:t>(</w:t>
      </w:r>
      <w:proofErr w:type="spellStart"/>
      <w:r w:rsidR="005F1B77" w:rsidRPr="00CB06D9">
        <w:rPr>
          <w:rFonts w:eastAsia="Calibri" w:cs="Times New Roman"/>
          <w:lang w:val="en-US"/>
        </w:rPr>
        <w:t>Balto</w:t>
      </w:r>
      <w:proofErr w:type="spellEnd"/>
      <w:r w:rsidR="005F1B77">
        <w:rPr>
          <w:rFonts w:eastAsia="Calibri" w:cs="Times New Roman"/>
        </w:rPr>
        <w:t xml:space="preserve"> </w:t>
      </w:r>
      <w:r w:rsidR="005F1B77">
        <w:rPr>
          <w:rFonts w:eastAsia="Calibri" w:cs="Times New Roman"/>
          <w:lang w:val="en-US"/>
        </w:rPr>
        <w:t>D</w:t>
      </w:r>
      <w:r w:rsidR="005F1B77" w:rsidRPr="00A541CF">
        <w:rPr>
          <w:rFonts w:eastAsia="Calibri" w:cs="Times New Roman"/>
        </w:rPr>
        <w:t>.</w:t>
      </w:r>
      <w:r w:rsidR="005F1B77" w:rsidRPr="00CB06D9">
        <w:rPr>
          <w:rFonts w:eastAsia="Calibri" w:cs="Times New Roman"/>
        </w:rPr>
        <w:t>, 2000</w:t>
      </w:r>
      <w:r w:rsidR="00873613" w:rsidRPr="00873613">
        <w:rPr>
          <w:rFonts w:eastAsia="Calibri" w:cs="Times New Roman"/>
        </w:rPr>
        <w:t xml:space="preserve">; </w:t>
      </w:r>
      <w:r w:rsidR="005F1B77" w:rsidRPr="00CB06D9">
        <w:rPr>
          <w:rFonts w:eastAsia="Calibri" w:cs="Times New Roman"/>
          <w:lang w:val="en-US"/>
        </w:rPr>
        <w:t>Motta</w:t>
      </w:r>
      <w:r w:rsidR="005F1B77" w:rsidRPr="00CB06D9">
        <w:rPr>
          <w:rFonts w:eastAsia="Calibri" w:cs="Times New Roman"/>
        </w:rPr>
        <w:t xml:space="preserve"> </w:t>
      </w:r>
      <w:r w:rsidR="005F1B77">
        <w:rPr>
          <w:rFonts w:eastAsia="Calibri" w:cs="Times New Roman"/>
          <w:lang w:val="en-US"/>
        </w:rPr>
        <w:t>M</w:t>
      </w:r>
      <w:r w:rsidR="005F1B77" w:rsidRPr="00A541CF">
        <w:rPr>
          <w:rFonts w:eastAsia="Calibri" w:cs="Times New Roman"/>
        </w:rPr>
        <w:t xml:space="preserve">., </w:t>
      </w:r>
      <w:r w:rsidR="005F1B77">
        <w:rPr>
          <w:rFonts w:eastAsia="Calibri" w:cs="Times New Roman"/>
        </w:rPr>
        <w:t>200</w:t>
      </w:r>
      <w:r w:rsidR="005F1B77" w:rsidRPr="00B00560">
        <w:t>7</w:t>
      </w:r>
      <w:r w:rsidR="005F1B77">
        <w:t>)</w:t>
      </w:r>
      <w:r w:rsidRPr="00981C75">
        <w:rPr>
          <w:szCs w:val="24"/>
        </w:rPr>
        <w:t>, так и на количественном уровне</w:t>
      </w:r>
      <w:r w:rsidR="00873613" w:rsidRPr="00873613">
        <w:rPr>
          <w:szCs w:val="24"/>
        </w:rPr>
        <w:t xml:space="preserve"> </w:t>
      </w:r>
      <w:r w:rsidR="00873613">
        <w:rPr>
          <w:rFonts w:eastAsia="Calibri" w:cs="Times New Roman"/>
        </w:rPr>
        <w:t>(</w:t>
      </w:r>
      <w:proofErr w:type="spellStart"/>
      <w:r w:rsidR="00873613">
        <w:t>Bougette</w:t>
      </w:r>
      <w:proofErr w:type="spellEnd"/>
      <w:r w:rsidR="00873613">
        <w:t xml:space="preserve"> P., 2008</w:t>
      </w:r>
      <w:r w:rsidR="00873613" w:rsidRPr="00CB06D9">
        <w:rPr>
          <w:rFonts w:eastAsia="Calibri" w:cs="Times New Roman"/>
        </w:rPr>
        <w:t>)</w:t>
      </w:r>
      <w:r w:rsidRPr="00981C75">
        <w:rPr>
          <w:szCs w:val="24"/>
        </w:rPr>
        <w:t>.</w:t>
      </w:r>
      <w:r w:rsidR="00B00560" w:rsidRPr="00B00560">
        <w:rPr>
          <w:szCs w:val="24"/>
        </w:rPr>
        <w:t xml:space="preserve"> </w:t>
      </w:r>
      <w:r w:rsidR="00873613">
        <w:rPr>
          <w:szCs w:val="24"/>
        </w:rPr>
        <w:t xml:space="preserve">Среди количественных методов </w:t>
      </w:r>
      <w:r w:rsidR="00B93172">
        <w:rPr>
          <w:szCs w:val="24"/>
        </w:rPr>
        <w:t>применяются</w:t>
      </w:r>
      <w:r w:rsidR="00873613">
        <w:rPr>
          <w:szCs w:val="24"/>
        </w:rPr>
        <w:t xml:space="preserve"> следующие </w:t>
      </w:r>
      <w:r w:rsidR="003D6869">
        <w:rPr>
          <w:szCs w:val="24"/>
        </w:rPr>
        <w:t>способы</w:t>
      </w:r>
      <w:r w:rsidR="005F1B77">
        <w:rPr>
          <w:szCs w:val="24"/>
        </w:rPr>
        <w:t xml:space="preserve"> оценки деятельности </w:t>
      </w:r>
      <w:r w:rsidR="005F1B77" w:rsidRPr="00F4150D">
        <w:rPr>
          <w:szCs w:val="24"/>
        </w:rPr>
        <w:t>ан</w:t>
      </w:r>
      <w:r w:rsidR="005F1B77">
        <w:rPr>
          <w:szCs w:val="24"/>
        </w:rPr>
        <w:t xml:space="preserve">тимонопольных органов: </w:t>
      </w:r>
      <w:r w:rsidR="005F1B77" w:rsidRPr="00F4150D">
        <w:rPr>
          <w:szCs w:val="24"/>
        </w:rPr>
        <w:t>оценк</w:t>
      </w:r>
      <w:r w:rsidR="005F1B77">
        <w:rPr>
          <w:szCs w:val="24"/>
        </w:rPr>
        <w:t>а</w:t>
      </w:r>
      <w:r w:rsidR="005F1B77" w:rsidRPr="00F4150D">
        <w:rPr>
          <w:szCs w:val="24"/>
        </w:rPr>
        <w:t xml:space="preserve"> экономической эффективности </w:t>
      </w:r>
      <w:r w:rsidR="005F1B77">
        <w:rPr>
          <w:szCs w:val="24"/>
        </w:rPr>
        <w:t>(</w:t>
      </w:r>
      <w:proofErr w:type="spellStart"/>
      <w:r w:rsidR="005F1B77">
        <w:rPr>
          <w:szCs w:val="24"/>
        </w:rPr>
        <w:t>Long</w:t>
      </w:r>
      <w:proofErr w:type="spellEnd"/>
      <w:r w:rsidR="005F1B77">
        <w:rPr>
          <w:szCs w:val="24"/>
        </w:rPr>
        <w:t xml:space="preserve"> W.F</w:t>
      </w:r>
      <w:r w:rsidR="005F1B77" w:rsidRPr="00AE182C">
        <w:rPr>
          <w:szCs w:val="24"/>
        </w:rPr>
        <w:t>., 1973)</w:t>
      </w:r>
      <w:r w:rsidR="005F1B77" w:rsidRPr="00F4150D">
        <w:rPr>
          <w:i/>
          <w:szCs w:val="24"/>
        </w:rPr>
        <w:t>,</w:t>
      </w:r>
      <w:r w:rsidR="005F1B77">
        <w:rPr>
          <w:i/>
          <w:szCs w:val="24"/>
        </w:rPr>
        <w:t xml:space="preserve"> </w:t>
      </w:r>
      <w:r w:rsidR="005F1B77" w:rsidRPr="00F4150D">
        <w:rPr>
          <w:szCs w:val="24"/>
        </w:rPr>
        <w:t xml:space="preserve">метод изучения событий </w:t>
      </w:r>
      <w:r w:rsidR="005F1B77">
        <w:t>(</w:t>
      </w:r>
      <w:proofErr w:type="spellStart"/>
      <w:r w:rsidR="005F1B77">
        <w:t>Duso</w:t>
      </w:r>
      <w:proofErr w:type="spellEnd"/>
      <w:r w:rsidR="005F1B77">
        <w:t xml:space="preserve"> T</w:t>
      </w:r>
      <w:r w:rsidR="005F1B77" w:rsidRPr="00AE182C">
        <w:t>., 2003)</w:t>
      </w:r>
      <w:r w:rsidR="005F1B77" w:rsidRPr="00F4150D">
        <w:t>,</w:t>
      </w:r>
      <w:r w:rsidR="005F1B77">
        <w:t xml:space="preserve"> м</w:t>
      </w:r>
      <w:r w:rsidR="005F1B77" w:rsidRPr="00F4150D">
        <w:t xml:space="preserve">одели дискретного выбора </w:t>
      </w:r>
      <w:r w:rsidR="005F1B77">
        <w:t xml:space="preserve"> (</w:t>
      </w:r>
      <w:proofErr w:type="spellStart"/>
      <w:r w:rsidR="005F1B77">
        <w:t>Bougette</w:t>
      </w:r>
      <w:proofErr w:type="spellEnd"/>
      <w:r w:rsidR="005F1B77">
        <w:t xml:space="preserve"> P., 2008</w:t>
      </w:r>
      <w:r w:rsidR="005F1B77" w:rsidRPr="00CB06D9">
        <w:rPr>
          <w:rFonts w:eastAsia="Calibri" w:cs="Times New Roman"/>
        </w:rPr>
        <w:t>)</w:t>
      </w:r>
      <w:r w:rsidR="006F7211">
        <w:rPr>
          <w:rFonts w:eastAsia="Calibri" w:cs="Times New Roman"/>
        </w:rPr>
        <w:t>.</w:t>
      </w:r>
    </w:p>
    <w:p w:rsidR="00DC7565" w:rsidRPr="006F7211" w:rsidRDefault="005F1B77" w:rsidP="006F7211">
      <w:pPr>
        <w:pStyle w:val="a3"/>
      </w:pPr>
      <w:r>
        <w:rPr>
          <w:rFonts w:eastAsia="Calibri" w:cs="Times New Roman"/>
        </w:rPr>
        <w:t>Логику принятия решений антимонопольного органа можно проследить, исследовав факторы, которыми руководствуе</w:t>
      </w:r>
      <w:r w:rsidR="00E15B7D">
        <w:rPr>
          <w:rFonts w:eastAsia="Calibri" w:cs="Times New Roman"/>
        </w:rPr>
        <w:t xml:space="preserve">тся ФАС при выборе предписаний. </w:t>
      </w:r>
      <w:r w:rsidR="006F7211">
        <w:t xml:space="preserve">Целью </w:t>
      </w:r>
      <w:r w:rsidR="006F7211" w:rsidRPr="00647AE8">
        <w:t>данной работы является выявление факторов, влияющих на применение ФАС структурных и поведенческих предписаний.</w:t>
      </w:r>
      <w:r w:rsidR="006F7211">
        <w:t xml:space="preserve"> </w:t>
      </w:r>
      <w:r w:rsidR="003D6869">
        <w:t>Для оценки экономической логики решений, по аналогии с зарубежными исследователями (</w:t>
      </w:r>
      <w:r w:rsidR="003D6869" w:rsidRPr="00B00560">
        <w:rPr>
          <w:lang w:val="en-US"/>
        </w:rPr>
        <w:t>Bergman</w:t>
      </w:r>
      <w:r w:rsidR="003D6869" w:rsidRPr="00B00560">
        <w:t xml:space="preserve"> </w:t>
      </w:r>
      <w:r w:rsidR="003D6869" w:rsidRPr="00B00560">
        <w:rPr>
          <w:lang w:val="en-US"/>
        </w:rPr>
        <w:t>M</w:t>
      </w:r>
      <w:r w:rsidR="003D6869">
        <w:t>.</w:t>
      </w:r>
      <w:r w:rsidR="003D6869" w:rsidRPr="00B00560">
        <w:t>, 2005</w:t>
      </w:r>
      <w:r w:rsidR="003D6869">
        <w:t xml:space="preserve">; </w:t>
      </w:r>
      <w:proofErr w:type="spellStart"/>
      <w:r w:rsidR="003D6869">
        <w:t>Bougette</w:t>
      </w:r>
      <w:proofErr w:type="spellEnd"/>
      <w:r w:rsidR="003D6869">
        <w:t xml:space="preserve"> P., 2008</w:t>
      </w:r>
      <w:r w:rsidR="003D6869" w:rsidRPr="00CB06D9">
        <w:rPr>
          <w:rFonts w:eastAsia="Calibri" w:cs="Times New Roman"/>
        </w:rPr>
        <w:t>)</w:t>
      </w:r>
      <w:r w:rsidR="003D6869">
        <w:rPr>
          <w:rFonts w:eastAsia="Calibri" w:cs="Times New Roman"/>
        </w:rPr>
        <w:t xml:space="preserve">, </w:t>
      </w:r>
      <w:r w:rsidR="003D6869">
        <w:t>собрана информационная база исследования</w:t>
      </w:r>
      <w:r w:rsidR="00B93172">
        <w:t xml:space="preserve">, состоящая из </w:t>
      </w:r>
      <w:r w:rsidR="003D6869" w:rsidRPr="00655180">
        <w:t>152 сдел</w:t>
      </w:r>
      <w:r w:rsidR="00647AE8">
        <w:t>ок</w:t>
      </w:r>
      <w:r w:rsidR="003D6869" w:rsidRPr="00655180">
        <w:t xml:space="preserve"> с применением предписаний за 2012-2013 гг.,</w:t>
      </w:r>
      <w:r w:rsidR="003D6869">
        <w:t xml:space="preserve"> </w:t>
      </w:r>
      <w:proofErr w:type="gramStart"/>
      <w:r w:rsidR="003D6869">
        <w:t>построены</w:t>
      </w:r>
      <w:proofErr w:type="gramEnd"/>
      <w:r w:rsidR="003D6869">
        <w:t xml:space="preserve"> пробит и логит модели, выявлены значимые факторы.</w:t>
      </w:r>
    </w:p>
    <w:p w:rsidR="00B95AC9" w:rsidRPr="00223B8E" w:rsidRDefault="00B00560" w:rsidP="006919AE">
      <w:pPr>
        <w:pStyle w:val="a3"/>
        <w:rPr>
          <w:szCs w:val="24"/>
        </w:rPr>
      </w:pPr>
      <w:r w:rsidRPr="00B00560">
        <w:rPr>
          <w:szCs w:val="24"/>
        </w:rPr>
        <w:t>В</w:t>
      </w:r>
      <w:r>
        <w:rPr>
          <w:szCs w:val="24"/>
        </w:rPr>
        <w:t xml:space="preserve"> России </w:t>
      </w:r>
      <w:r w:rsidRPr="00B00560">
        <w:rPr>
          <w:szCs w:val="24"/>
        </w:rPr>
        <w:t>развит</w:t>
      </w:r>
      <w:r w:rsidR="00655180">
        <w:rPr>
          <w:szCs w:val="24"/>
        </w:rPr>
        <w:t xml:space="preserve">ием данной темы занимается С.Б. </w:t>
      </w:r>
      <w:proofErr w:type="spellStart"/>
      <w:r w:rsidRPr="00B00560">
        <w:rPr>
          <w:szCs w:val="24"/>
        </w:rPr>
        <w:t>Авдашева</w:t>
      </w:r>
      <w:proofErr w:type="spellEnd"/>
      <w:r w:rsidRPr="00B00560">
        <w:rPr>
          <w:szCs w:val="24"/>
        </w:rPr>
        <w:t xml:space="preserve"> в соавтор</w:t>
      </w:r>
      <w:r w:rsidR="009269EA">
        <w:rPr>
          <w:szCs w:val="24"/>
        </w:rPr>
        <w:t>стве с А.Е. </w:t>
      </w:r>
      <w:proofErr w:type="spellStart"/>
      <w:r w:rsidRPr="00B00560">
        <w:rPr>
          <w:szCs w:val="24"/>
        </w:rPr>
        <w:t>Шаститко</w:t>
      </w:r>
      <w:proofErr w:type="spellEnd"/>
      <w:r w:rsidRPr="00B00560">
        <w:rPr>
          <w:szCs w:val="24"/>
        </w:rPr>
        <w:t xml:space="preserve"> (</w:t>
      </w:r>
      <w:proofErr w:type="spellStart"/>
      <w:r w:rsidRPr="00B00560">
        <w:rPr>
          <w:szCs w:val="24"/>
        </w:rPr>
        <w:t>Авдашева</w:t>
      </w:r>
      <w:proofErr w:type="spellEnd"/>
      <w:r w:rsidRPr="00B00560">
        <w:rPr>
          <w:szCs w:val="24"/>
        </w:rPr>
        <w:t xml:space="preserve"> С. и др., 2007) и Н. </w:t>
      </w:r>
      <w:proofErr w:type="spellStart"/>
      <w:r w:rsidRPr="00B00560">
        <w:rPr>
          <w:szCs w:val="24"/>
        </w:rPr>
        <w:t>Дзагур</w:t>
      </w:r>
      <w:r w:rsidR="00516234">
        <w:rPr>
          <w:szCs w:val="24"/>
        </w:rPr>
        <w:t>овой</w:t>
      </w:r>
      <w:proofErr w:type="spellEnd"/>
      <w:r w:rsidR="00516234">
        <w:rPr>
          <w:szCs w:val="24"/>
        </w:rPr>
        <w:t xml:space="preserve"> (</w:t>
      </w:r>
      <w:proofErr w:type="spellStart"/>
      <w:r w:rsidR="00516234">
        <w:rPr>
          <w:szCs w:val="24"/>
        </w:rPr>
        <w:t>Авдашева</w:t>
      </w:r>
      <w:proofErr w:type="spellEnd"/>
      <w:r w:rsidR="00516234">
        <w:rPr>
          <w:szCs w:val="24"/>
        </w:rPr>
        <w:t xml:space="preserve"> С., </w:t>
      </w:r>
      <w:proofErr w:type="spellStart"/>
      <w:r w:rsidR="00516234">
        <w:rPr>
          <w:szCs w:val="24"/>
        </w:rPr>
        <w:t>Дзагурова</w:t>
      </w:r>
      <w:proofErr w:type="spellEnd"/>
      <w:r w:rsidR="00516234">
        <w:rPr>
          <w:szCs w:val="24"/>
        </w:rPr>
        <w:t xml:space="preserve"> Н., </w:t>
      </w:r>
      <w:r w:rsidRPr="00B00560">
        <w:rPr>
          <w:szCs w:val="24"/>
        </w:rPr>
        <w:t>2011). Однако сфера эмпирических исследований деятельности ФАС еще не сформирована</w:t>
      </w:r>
      <w:r w:rsidR="00B55478">
        <w:rPr>
          <w:szCs w:val="24"/>
        </w:rPr>
        <w:t>.</w:t>
      </w:r>
    </w:p>
    <w:p w:rsidR="00C87EBA" w:rsidRPr="00223B8E" w:rsidRDefault="00C87EBA" w:rsidP="00223B8E">
      <w:pPr>
        <w:pStyle w:val="a3"/>
        <w:rPr>
          <w:b/>
          <w:szCs w:val="24"/>
        </w:rPr>
      </w:pPr>
      <w:r w:rsidRPr="00223B8E">
        <w:rPr>
          <w:b/>
          <w:szCs w:val="24"/>
        </w:rPr>
        <w:t>Постановка задачи исследования и методика</w:t>
      </w:r>
    </w:p>
    <w:p w:rsidR="000F011D" w:rsidRDefault="00177610" w:rsidP="00D93045">
      <w:pPr>
        <w:pStyle w:val="a3"/>
        <w:rPr>
          <w:szCs w:val="24"/>
        </w:rPr>
      </w:pPr>
      <w:r>
        <w:rPr>
          <w:szCs w:val="24"/>
        </w:rPr>
        <w:t xml:space="preserve">В российском антимонопольном законодательстве </w:t>
      </w:r>
      <w:r w:rsidR="006233E5">
        <w:rPr>
          <w:szCs w:val="24"/>
        </w:rPr>
        <w:t xml:space="preserve">процесс выдвижения структурных и поведенческих предписаний </w:t>
      </w:r>
      <w:r w:rsidR="004638E5">
        <w:rPr>
          <w:szCs w:val="24"/>
        </w:rPr>
        <w:t xml:space="preserve">не </w:t>
      </w:r>
      <w:r w:rsidR="006233E5">
        <w:rPr>
          <w:szCs w:val="24"/>
        </w:rPr>
        <w:t>регламентирован</w:t>
      </w:r>
      <w:r>
        <w:rPr>
          <w:szCs w:val="24"/>
        </w:rPr>
        <w:t xml:space="preserve"> </w:t>
      </w:r>
      <w:r w:rsidR="006233E5">
        <w:rPr>
          <w:szCs w:val="24"/>
        </w:rPr>
        <w:t xml:space="preserve">четкими </w:t>
      </w:r>
      <w:r w:rsidR="006233E5">
        <w:rPr>
          <w:szCs w:val="24"/>
        </w:rPr>
        <w:lastRenderedPageBreak/>
        <w:t>правилами, как, например, в США</w:t>
      </w:r>
      <w:r w:rsidR="00B34CE1">
        <w:rPr>
          <w:szCs w:val="24"/>
        </w:rPr>
        <w:t xml:space="preserve">. </w:t>
      </w:r>
      <w:r w:rsidR="00B95AC9">
        <w:rPr>
          <w:szCs w:val="24"/>
        </w:rPr>
        <w:t>Т</w:t>
      </w:r>
      <w:r w:rsidR="00B55478">
        <w:rPr>
          <w:szCs w:val="24"/>
        </w:rPr>
        <w:t>ем не менее,</w:t>
      </w:r>
      <w:r w:rsidR="006233E5" w:rsidRPr="006233E5">
        <w:rPr>
          <w:szCs w:val="24"/>
        </w:rPr>
        <w:t xml:space="preserve"> ФАС ориентируется на некоторые параметры сделок при выдаче предписаний.</w:t>
      </w:r>
      <w:r w:rsidR="006233E5">
        <w:rPr>
          <w:szCs w:val="24"/>
        </w:rPr>
        <w:t xml:space="preserve"> </w:t>
      </w:r>
      <w:r w:rsidR="00D93045">
        <w:rPr>
          <w:szCs w:val="24"/>
        </w:rPr>
        <w:t xml:space="preserve"> </w:t>
      </w:r>
      <w:r w:rsidR="001D53C9">
        <w:rPr>
          <w:szCs w:val="24"/>
        </w:rPr>
        <w:t xml:space="preserve">В этом заключается новизна работы, поскольку </w:t>
      </w:r>
      <w:r w:rsidR="00F92D3B">
        <w:rPr>
          <w:szCs w:val="24"/>
        </w:rPr>
        <w:t xml:space="preserve">параметры сделок, </w:t>
      </w:r>
      <w:r w:rsidR="008646FE">
        <w:rPr>
          <w:szCs w:val="24"/>
        </w:rPr>
        <w:t>которыми руководствуется</w:t>
      </w:r>
      <w:r w:rsidR="009C630F">
        <w:rPr>
          <w:szCs w:val="24"/>
        </w:rPr>
        <w:t xml:space="preserve"> ФАС при выборе предписаний</w:t>
      </w:r>
      <w:r w:rsidR="009B6C35">
        <w:rPr>
          <w:szCs w:val="24"/>
        </w:rPr>
        <w:t>,</w:t>
      </w:r>
      <w:r w:rsidR="009C630F">
        <w:rPr>
          <w:szCs w:val="24"/>
        </w:rPr>
        <w:t xml:space="preserve"> практически не исследованы.</w:t>
      </w:r>
    </w:p>
    <w:p w:rsidR="00BB0B20" w:rsidRDefault="001B6B78" w:rsidP="00BA62C7">
      <w:pPr>
        <w:pStyle w:val="a3"/>
        <w:rPr>
          <w:szCs w:val="24"/>
        </w:rPr>
      </w:pPr>
      <w:r>
        <w:rPr>
          <w:szCs w:val="24"/>
        </w:rPr>
        <w:t>С</w:t>
      </w:r>
      <w:r w:rsidR="00BB0B20">
        <w:rPr>
          <w:szCs w:val="24"/>
        </w:rPr>
        <w:t>труктурные предписания</w:t>
      </w:r>
      <w:r>
        <w:rPr>
          <w:szCs w:val="24"/>
        </w:rPr>
        <w:t xml:space="preserve">, в отличие от поведенческих, </w:t>
      </w:r>
      <w:r w:rsidR="00BB0B20">
        <w:rPr>
          <w:szCs w:val="24"/>
        </w:rPr>
        <w:t>предполагают более серьезное вмешательство в деятельность компаний</w:t>
      </w:r>
      <w:r w:rsidR="00221C8A">
        <w:rPr>
          <w:szCs w:val="24"/>
        </w:rPr>
        <w:t xml:space="preserve"> и применяются для устранения негативных последствий горизонтальных слияний (</w:t>
      </w:r>
      <w:proofErr w:type="spellStart"/>
      <w:r w:rsidR="00221C8A">
        <w:rPr>
          <w:szCs w:val="24"/>
        </w:rPr>
        <w:t>Bougette</w:t>
      </w:r>
      <w:proofErr w:type="spellEnd"/>
      <w:r w:rsidR="00221C8A">
        <w:rPr>
          <w:szCs w:val="24"/>
        </w:rPr>
        <w:t xml:space="preserve"> P., 2008). </w:t>
      </w:r>
      <w:r>
        <w:rPr>
          <w:szCs w:val="24"/>
        </w:rPr>
        <w:t>В связи с этим, необходимо понять, в каких случаях антимонопольный орган решает предпринять такие радикальные меры</w:t>
      </w:r>
      <w:r w:rsidR="00BA62C7">
        <w:rPr>
          <w:szCs w:val="24"/>
        </w:rPr>
        <w:t>.</w:t>
      </w:r>
    </w:p>
    <w:p w:rsidR="00BB0B20" w:rsidRPr="00223B8E" w:rsidRDefault="00A14270" w:rsidP="00D04984">
      <w:pPr>
        <w:pStyle w:val="a3"/>
        <w:rPr>
          <w:szCs w:val="24"/>
        </w:rPr>
      </w:pPr>
      <w:r>
        <w:rPr>
          <w:szCs w:val="24"/>
        </w:rPr>
        <w:t>Для устранения негативных последствий вертикальных слияний применяются поведенческие предписания</w:t>
      </w:r>
      <w:r w:rsidR="00D04984">
        <w:rPr>
          <w:szCs w:val="24"/>
        </w:rPr>
        <w:t xml:space="preserve">. </w:t>
      </w:r>
      <w:r w:rsidR="00CE786E">
        <w:rPr>
          <w:szCs w:val="24"/>
        </w:rPr>
        <w:t>В собранной базе в</w:t>
      </w:r>
      <w:r w:rsidR="00CA6898">
        <w:rPr>
          <w:szCs w:val="24"/>
        </w:rPr>
        <w:t xml:space="preserve"> 45 предписани</w:t>
      </w:r>
      <w:r w:rsidR="00441AEC">
        <w:rPr>
          <w:szCs w:val="24"/>
        </w:rPr>
        <w:t>ях</w:t>
      </w:r>
      <w:r w:rsidR="00CA6898">
        <w:rPr>
          <w:szCs w:val="24"/>
        </w:rPr>
        <w:t xml:space="preserve"> из 152</w:t>
      </w:r>
      <w:r w:rsidR="00D04984">
        <w:rPr>
          <w:szCs w:val="24"/>
        </w:rPr>
        <w:t xml:space="preserve"> </w:t>
      </w:r>
      <w:r w:rsidR="004224D5">
        <w:rPr>
          <w:szCs w:val="24"/>
        </w:rPr>
        <w:t>встреча</w:t>
      </w:r>
      <w:r w:rsidR="00221C8A">
        <w:rPr>
          <w:szCs w:val="24"/>
        </w:rPr>
        <w:t>е</w:t>
      </w:r>
      <w:r w:rsidR="004224D5">
        <w:rPr>
          <w:szCs w:val="24"/>
        </w:rPr>
        <w:t>тся требовани</w:t>
      </w:r>
      <w:r w:rsidR="00221C8A">
        <w:rPr>
          <w:szCs w:val="24"/>
        </w:rPr>
        <w:t xml:space="preserve">е уведомлять </w:t>
      </w:r>
      <w:r w:rsidR="00221C8A" w:rsidRPr="004224D5">
        <w:rPr>
          <w:szCs w:val="24"/>
        </w:rPr>
        <w:t xml:space="preserve">ФАС о повышении цен на товары или услуги более </w:t>
      </w:r>
      <w:r w:rsidR="00221C8A">
        <w:rPr>
          <w:szCs w:val="24"/>
        </w:rPr>
        <w:t>чем на заданную величину</w:t>
      </w:r>
      <w:r w:rsidR="00CA6898">
        <w:rPr>
          <w:szCs w:val="24"/>
        </w:rPr>
        <w:t>.</w:t>
      </w:r>
      <w:r w:rsidR="00221C8A">
        <w:rPr>
          <w:szCs w:val="24"/>
        </w:rPr>
        <w:t xml:space="preserve"> </w:t>
      </w:r>
      <w:r w:rsidR="004224D5">
        <w:rPr>
          <w:szCs w:val="24"/>
        </w:rPr>
        <w:t xml:space="preserve">Следовательно, ФАС до совершения сделки </w:t>
      </w:r>
      <w:r w:rsidR="00D85278">
        <w:rPr>
          <w:szCs w:val="24"/>
        </w:rPr>
        <w:t>может прогнозировать повышение цен. В каких именно случаях применяются такие ценовые требования,</w:t>
      </w:r>
      <w:r w:rsidR="003E4DDC">
        <w:rPr>
          <w:szCs w:val="24"/>
        </w:rPr>
        <w:t xml:space="preserve"> будет изучено в данной работе.</w:t>
      </w:r>
    </w:p>
    <w:p w:rsidR="00CA7613" w:rsidRPr="00E51B26" w:rsidRDefault="009B6C35" w:rsidP="00223B8E">
      <w:pPr>
        <w:pStyle w:val="a3"/>
        <w:rPr>
          <w:szCs w:val="24"/>
        </w:rPr>
      </w:pPr>
      <w:r w:rsidRPr="001C56B7">
        <w:rPr>
          <w:szCs w:val="24"/>
        </w:rPr>
        <w:t xml:space="preserve">В исследовании осуществляется </w:t>
      </w:r>
      <w:r w:rsidRPr="001C56B7">
        <w:rPr>
          <w:i/>
          <w:szCs w:val="24"/>
          <w:lang w:val="en-US"/>
        </w:rPr>
        <w:t>ex</w:t>
      </w:r>
      <w:r w:rsidRPr="001C56B7">
        <w:rPr>
          <w:i/>
          <w:szCs w:val="24"/>
        </w:rPr>
        <w:t xml:space="preserve"> </w:t>
      </w:r>
      <w:r w:rsidRPr="001C56B7">
        <w:rPr>
          <w:i/>
          <w:szCs w:val="24"/>
          <w:lang w:val="en-US"/>
        </w:rPr>
        <w:t>post</w:t>
      </w:r>
      <w:r w:rsidRPr="001C56B7">
        <w:rPr>
          <w:szCs w:val="24"/>
        </w:rPr>
        <w:t xml:space="preserve"> анализ деятельности антимонопольных органов на основе изучения </w:t>
      </w:r>
      <w:r w:rsidR="006551F1">
        <w:rPr>
          <w:szCs w:val="24"/>
        </w:rPr>
        <w:t xml:space="preserve">текстов </w:t>
      </w:r>
      <w:r w:rsidRPr="001C56B7">
        <w:rPr>
          <w:szCs w:val="24"/>
        </w:rPr>
        <w:t>решений ФАС</w:t>
      </w:r>
      <w:r>
        <w:rPr>
          <w:szCs w:val="24"/>
        </w:rPr>
        <w:t xml:space="preserve"> за 2012-2013 гг</w:t>
      </w:r>
      <w:r w:rsidR="00D85278">
        <w:rPr>
          <w:szCs w:val="24"/>
        </w:rPr>
        <w:t xml:space="preserve">. </w:t>
      </w:r>
      <w:r w:rsidR="009E0F5D" w:rsidRPr="009E0F5D">
        <w:rPr>
          <w:szCs w:val="24"/>
        </w:rPr>
        <w:t xml:space="preserve">В ходе </w:t>
      </w:r>
      <w:r w:rsidR="00633663" w:rsidRPr="009E0F5D">
        <w:rPr>
          <w:szCs w:val="24"/>
        </w:rPr>
        <w:t>изучения экономической теории</w:t>
      </w:r>
      <w:r w:rsidR="00633663">
        <w:rPr>
          <w:szCs w:val="24"/>
        </w:rPr>
        <w:t>,</w:t>
      </w:r>
      <w:r w:rsidR="00633663" w:rsidRPr="009E0F5D">
        <w:rPr>
          <w:szCs w:val="24"/>
        </w:rPr>
        <w:t xml:space="preserve"> </w:t>
      </w:r>
      <w:r w:rsidR="00CE786E">
        <w:rPr>
          <w:szCs w:val="24"/>
        </w:rPr>
        <w:t xml:space="preserve">русских и зарубежных </w:t>
      </w:r>
      <w:r w:rsidR="009E0F5D" w:rsidRPr="009E0F5D">
        <w:rPr>
          <w:szCs w:val="24"/>
        </w:rPr>
        <w:t>стате</w:t>
      </w:r>
      <w:r w:rsidR="00633663">
        <w:rPr>
          <w:szCs w:val="24"/>
        </w:rPr>
        <w:t xml:space="preserve">й </w:t>
      </w:r>
      <w:r w:rsidR="00AD34A1">
        <w:rPr>
          <w:szCs w:val="24"/>
        </w:rPr>
        <w:t xml:space="preserve">были </w:t>
      </w:r>
      <w:r w:rsidR="00CE786E">
        <w:rPr>
          <w:szCs w:val="24"/>
        </w:rPr>
        <w:t>выдвинуты гипотезы</w:t>
      </w:r>
      <w:r w:rsidR="00E51B26">
        <w:rPr>
          <w:szCs w:val="24"/>
        </w:rPr>
        <w:t xml:space="preserve"> о факторах, которыми должна</w:t>
      </w:r>
      <w:r w:rsidR="009E0F5D" w:rsidRPr="009E0F5D">
        <w:rPr>
          <w:szCs w:val="24"/>
        </w:rPr>
        <w:t xml:space="preserve"> руководст</w:t>
      </w:r>
      <w:r w:rsidR="00633663">
        <w:rPr>
          <w:szCs w:val="24"/>
        </w:rPr>
        <w:t>в</w:t>
      </w:r>
      <w:r w:rsidR="00E51B26">
        <w:rPr>
          <w:szCs w:val="24"/>
        </w:rPr>
        <w:t xml:space="preserve">оваться ФАС в принятии решений. </w:t>
      </w:r>
      <w:r>
        <w:t xml:space="preserve">Данные гипотезы тестируются в ходе построения моделей бинарного выбора, показывающих значимость </w:t>
      </w:r>
      <w:r w:rsidR="00BF6119">
        <w:t>влияния</w:t>
      </w:r>
      <w:r>
        <w:t xml:space="preserve"> факторов</w:t>
      </w:r>
      <w:r w:rsidR="00BF6119">
        <w:t>.</w:t>
      </w:r>
    </w:p>
    <w:p w:rsidR="005A1560" w:rsidRPr="00111133" w:rsidRDefault="005A1560" w:rsidP="00223B8E">
      <w:pPr>
        <w:pStyle w:val="a3"/>
        <w:rPr>
          <w:spacing w:val="-6"/>
          <w:szCs w:val="24"/>
        </w:rPr>
      </w:pPr>
      <w:r w:rsidRPr="00111133">
        <w:rPr>
          <w:b/>
          <w:spacing w:val="-6"/>
          <w:szCs w:val="24"/>
        </w:rPr>
        <w:t xml:space="preserve">Оценка качества корректирующих предписаний в </w:t>
      </w:r>
      <w:r w:rsidR="00574131" w:rsidRPr="00111133">
        <w:rPr>
          <w:b/>
          <w:spacing w:val="-6"/>
          <w:szCs w:val="24"/>
        </w:rPr>
        <w:t>России в 2012-2013 </w:t>
      </w:r>
      <w:r w:rsidRPr="00111133">
        <w:rPr>
          <w:b/>
          <w:spacing w:val="-6"/>
          <w:szCs w:val="24"/>
        </w:rPr>
        <w:t>гг.</w:t>
      </w:r>
    </w:p>
    <w:p w:rsidR="00BF6119" w:rsidRDefault="00BF6119" w:rsidP="00223B8E">
      <w:pPr>
        <w:pStyle w:val="a3"/>
        <w:rPr>
          <w:szCs w:val="24"/>
        </w:rPr>
      </w:pPr>
      <w:r w:rsidRPr="00BF6119">
        <w:rPr>
          <w:szCs w:val="24"/>
        </w:rPr>
        <w:t xml:space="preserve">Следующий этап исследования посвящен оценке </w:t>
      </w:r>
      <w:r w:rsidR="00183E95">
        <w:rPr>
          <w:szCs w:val="24"/>
        </w:rPr>
        <w:t xml:space="preserve">качества </w:t>
      </w:r>
      <w:r w:rsidR="008D3930">
        <w:rPr>
          <w:szCs w:val="24"/>
        </w:rPr>
        <w:t>предписаний</w:t>
      </w:r>
      <w:r w:rsidR="00183E95">
        <w:rPr>
          <w:szCs w:val="24"/>
        </w:rPr>
        <w:t xml:space="preserve"> ФАС </w:t>
      </w:r>
      <w:r w:rsidRPr="00BF6119">
        <w:rPr>
          <w:szCs w:val="24"/>
        </w:rPr>
        <w:t xml:space="preserve">при помощи дискретных моделей. Для </w:t>
      </w:r>
      <w:r w:rsidR="00183E95">
        <w:rPr>
          <w:szCs w:val="24"/>
        </w:rPr>
        <w:t>этого</w:t>
      </w:r>
      <w:r w:rsidRPr="00BF6119">
        <w:rPr>
          <w:szCs w:val="24"/>
        </w:rPr>
        <w:t xml:space="preserve"> необходимо понять, какие факторы ФАС считает значимыми при выдаче предписаний</w:t>
      </w:r>
      <w:r w:rsidR="008D3930">
        <w:rPr>
          <w:szCs w:val="24"/>
        </w:rPr>
        <w:t>,</w:t>
      </w:r>
      <w:r w:rsidRPr="00BF6119">
        <w:rPr>
          <w:szCs w:val="24"/>
        </w:rPr>
        <w:t xml:space="preserve"> и являются ли они экономически обоснованными.</w:t>
      </w:r>
    </w:p>
    <w:p w:rsidR="008A36C5" w:rsidRDefault="00BF6119" w:rsidP="00355DB9">
      <w:pPr>
        <w:pStyle w:val="a3"/>
        <w:rPr>
          <w:szCs w:val="24"/>
        </w:rPr>
      </w:pPr>
      <w:r>
        <w:rPr>
          <w:szCs w:val="24"/>
        </w:rPr>
        <w:t>Выявление влияния параметров сделок на решение ФАС будет проводиться на основе построения моделей бинарного выбора.</w:t>
      </w:r>
      <w:r w:rsidR="00355DB9">
        <w:rPr>
          <w:szCs w:val="24"/>
        </w:rPr>
        <w:t xml:space="preserve"> </w:t>
      </w:r>
      <w:r w:rsidR="00E765AB">
        <w:rPr>
          <w:szCs w:val="24"/>
        </w:rPr>
        <w:t xml:space="preserve">Применение </w:t>
      </w:r>
      <w:r w:rsidR="00E765AB">
        <w:rPr>
          <w:szCs w:val="24"/>
        </w:rPr>
        <w:lastRenderedPageBreak/>
        <w:t xml:space="preserve">моделей </w:t>
      </w:r>
      <w:r w:rsidR="008A36C5" w:rsidRPr="008A36C5">
        <w:rPr>
          <w:szCs w:val="24"/>
        </w:rPr>
        <w:t>бинарного выбора объясняется спецификой</w:t>
      </w:r>
      <w:r w:rsidR="00ED39A3">
        <w:rPr>
          <w:szCs w:val="24"/>
        </w:rPr>
        <w:t xml:space="preserve"> собранной информационной базы: </w:t>
      </w:r>
      <w:r w:rsidR="008A36C5" w:rsidRPr="008A36C5">
        <w:rPr>
          <w:szCs w:val="24"/>
        </w:rPr>
        <w:t>все переменные являются бинарными</w:t>
      </w:r>
      <w:r w:rsidR="00355DB9">
        <w:rPr>
          <w:szCs w:val="24"/>
        </w:rPr>
        <w:t>.</w:t>
      </w:r>
    </w:p>
    <w:p w:rsidR="006B59FB" w:rsidRPr="00AA2B53" w:rsidRDefault="00E15B7D" w:rsidP="003E4DDC">
      <w:pPr>
        <w:pStyle w:val="a3"/>
        <w:rPr>
          <w:szCs w:val="24"/>
        </w:rPr>
      </w:pPr>
      <w:r>
        <w:rPr>
          <w:szCs w:val="24"/>
        </w:rPr>
        <w:t xml:space="preserve">В данной работе будут исследоваться только предписания. </w:t>
      </w:r>
      <w:r w:rsidR="0030076E" w:rsidRPr="0030076E">
        <w:rPr>
          <w:szCs w:val="24"/>
        </w:rPr>
        <w:t>По данным ФАС</w:t>
      </w:r>
      <w:r w:rsidR="00355DB9">
        <w:rPr>
          <w:szCs w:val="24"/>
        </w:rPr>
        <w:t>,</w:t>
      </w:r>
      <w:r w:rsidR="0030076E" w:rsidRPr="0030076E">
        <w:rPr>
          <w:szCs w:val="24"/>
        </w:rPr>
        <w:t xml:space="preserve"> в России в 2012</w:t>
      </w:r>
      <w:r w:rsidR="003E4DDC" w:rsidRPr="003E4DDC">
        <w:rPr>
          <w:szCs w:val="24"/>
        </w:rPr>
        <w:t xml:space="preserve">-2013 </w:t>
      </w:r>
      <w:r w:rsidR="003E4DDC">
        <w:rPr>
          <w:szCs w:val="24"/>
        </w:rPr>
        <w:t>гг.</w:t>
      </w:r>
      <w:r w:rsidR="003E4DDC" w:rsidRPr="003E4DDC">
        <w:rPr>
          <w:szCs w:val="24"/>
        </w:rPr>
        <w:t xml:space="preserve"> </w:t>
      </w:r>
      <w:r w:rsidR="003E4DDC">
        <w:rPr>
          <w:szCs w:val="24"/>
        </w:rPr>
        <w:t>9% рассмотренных ходатайств  было одобрено с выдачей предписаний</w:t>
      </w:r>
      <w:r w:rsidR="00617162">
        <w:rPr>
          <w:szCs w:val="24"/>
        </w:rPr>
        <w:t xml:space="preserve"> </w:t>
      </w:r>
      <w:r w:rsidR="00617162" w:rsidRPr="003E4DDC">
        <w:rPr>
          <w:szCs w:val="24"/>
        </w:rPr>
        <w:t>(</w:t>
      </w:r>
      <w:r w:rsidR="00617162">
        <w:rPr>
          <w:szCs w:val="24"/>
        </w:rPr>
        <w:t>таблица 1</w:t>
      </w:r>
      <w:r w:rsidR="00617162" w:rsidRPr="003E4DDC">
        <w:rPr>
          <w:szCs w:val="24"/>
        </w:rPr>
        <w:t>)</w:t>
      </w:r>
      <w:r w:rsidR="003E4DDC">
        <w:rPr>
          <w:szCs w:val="24"/>
        </w:rPr>
        <w:t xml:space="preserve">. </w:t>
      </w:r>
      <w:r w:rsidR="0030076E" w:rsidRPr="0030076E">
        <w:rPr>
          <w:szCs w:val="24"/>
        </w:rPr>
        <w:t>В ходе работы над выборкой на официальном сайте ФАС были отобраны все доступные решения по ходатайствам с выдвижением предписаний за 2012-2013 гг., число которых составило 152.</w:t>
      </w:r>
    </w:p>
    <w:p w:rsidR="00355DB9" w:rsidRPr="006949B5" w:rsidRDefault="00355DB9" w:rsidP="00FA42BF">
      <w:pPr>
        <w:spacing w:before="120" w:after="0" w:line="240" w:lineRule="auto"/>
        <w:ind w:firstLine="720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6949B5">
        <w:rPr>
          <w:rFonts w:ascii="Times New Roman" w:hAnsi="Times New Roman"/>
          <w:sz w:val="28"/>
          <w:szCs w:val="24"/>
        </w:rPr>
        <w:t>Таблица 1</w:t>
      </w:r>
    </w:p>
    <w:p w:rsidR="00355DB9" w:rsidRPr="00FA42BF" w:rsidRDefault="00332E31" w:rsidP="00FA42BF">
      <w:pPr>
        <w:spacing w:after="120" w:line="24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  <w:r w:rsidRPr="00FA42BF">
        <w:rPr>
          <w:rFonts w:ascii="Times New Roman" w:hAnsi="Times New Roman"/>
          <w:b/>
          <w:sz w:val="28"/>
          <w:szCs w:val="24"/>
        </w:rPr>
        <w:t>Р</w:t>
      </w:r>
      <w:r w:rsidR="00355DB9" w:rsidRPr="00FA42BF">
        <w:rPr>
          <w:rFonts w:ascii="Times New Roman" w:hAnsi="Times New Roman"/>
          <w:b/>
          <w:sz w:val="28"/>
          <w:szCs w:val="24"/>
        </w:rPr>
        <w:t>ешени</w:t>
      </w:r>
      <w:r w:rsidRPr="00FA42BF">
        <w:rPr>
          <w:rFonts w:ascii="Times New Roman" w:hAnsi="Times New Roman"/>
          <w:b/>
          <w:sz w:val="28"/>
          <w:szCs w:val="24"/>
        </w:rPr>
        <w:t>я ФАС по слияниям в 2012-2013 гг.</w:t>
      </w:r>
    </w:p>
    <w:tbl>
      <w:tblPr>
        <w:tblStyle w:val="ab"/>
        <w:tblW w:w="96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6"/>
        <w:gridCol w:w="896"/>
        <w:gridCol w:w="1777"/>
        <w:gridCol w:w="2836"/>
        <w:gridCol w:w="1204"/>
        <w:gridCol w:w="2079"/>
      </w:tblGrid>
      <w:tr w:rsidR="00522BE7" w:rsidRPr="006949B5" w:rsidTr="00332E31">
        <w:trPr>
          <w:trHeight w:val="567"/>
          <w:jc w:val="center"/>
        </w:trPr>
        <w:tc>
          <w:tcPr>
            <w:tcW w:w="896" w:type="dxa"/>
            <w:vAlign w:val="center"/>
          </w:tcPr>
          <w:p w:rsidR="00522BE7" w:rsidRPr="006949B5" w:rsidRDefault="00522BE7" w:rsidP="0069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6" w:type="dxa"/>
            <w:vAlign w:val="center"/>
          </w:tcPr>
          <w:p w:rsidR="00522BE7" w:rsidRPr="00FA42BF" w:rsidRDefault="00522BE7" w:rsidP="00691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7" w:type="dxa"/>
            <w:vAlign w:val="center"/>
          </w:tcPr>
          <w:p w:rsidR="00522BE7" w:rsidRPr="00FA42BF" w:rsidRDefault="00522BE7" w:rsidP="006919AE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Удовлетворено</w:t>
            </w:r>
          </w:p>
        </w:tc>
        <w:tc>
          <w:tcPr>
            <w:tcW w:w="2836" w:type="dxa"/>
            <w:vAlign w:val="center"/>
          </w:tcPr>
          <w:p w:rsidR="00522BE7" w:rsidRPr="00FA42BF" w:rsidRDefault="00522BE7" w:rsidP="00691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Удовлетворено с выдачей предписаний</w:t>
            </w:r>
          </w:p>
        </w:tc>
        <w:tc>
          <w:tcPr>
            <w:tcW w:w="1204" w:type="dxa"/>
            <w:vAlign w:val="center"/>
          </w:tcPr>
          <w:p w:rsidR="00522BE7" w:rsidRPr="00FA42BF" w:rsidRDefault="00522BE7" w:rsidP="00691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2079" w:type="dxa"/>
          </w:tcPr>
          <w:p w:rsidR="00522BE7" w:rsidRPr="00FA42BF" w:rsidRDefault="00522BE7" w:rsidP="00691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332E31" w:rsidRPr="00FA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A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опубликованных решений ФАС</w:t>
            </w:r>
          </w:p>
        </w:tc>
      </w:tr>
      <w:tr w:rsidR="00522BE7" w:rsidRPr="006949B5" w:rsidTr="00332E31">
        <w:trPr>
          <w:jc w:val="center"/>
        </w:trPr>
        <w:tc>
          <w:tcPr>
            <w:tcW w:w="896" w:type="dxa"/>
            <w:vAlign w:val="center"/>
          </w:tcPr>
          <w:p w:rsidR="00522BE7" w:rsidRPr="006949B5" w:rsidRDefault="00522BE7" w:rsidP="0069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96" w:type="dxa"/>
          </w:tcPr>
          <w:p w:rsidR="00522BE7" w:rsidRPr="006949B5" w:rsidRDefault="00522BE7" w:rsidP="0069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1777" w:type="dxa"/>
          </w:tcPr>
          <w:p w:rsidR="00522BE7" w:rsidRPr="006949B5" w:rsidRDefault="00332E31" w:rsidP="0069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522BE7" w:rsidRPr="006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6" w:type="dxa"/>
          </w:tcPr>
          <w:p w:rsidR="00522BE7" w:rsidRPr="006949B5" w:rsidRDefault="00522BE7" w:rsidP="0069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204" w:type="dxa"/>
          </w:tcPr>
          <w:p w:rsidR="00522BE7" w:rsidRPr="006949B5" w:rsidRDefault="00522BE7" w:rsidP="0069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2 %</w:t>
            </w:r>
          </w:p>
        </w:tc>
        <w:tc>
          <w:tcPr>
            <w:tcW w:w="2079" w:type="dxa"/>
          </w:tcPr>
          <w:p w:rsidR="00522BE7" w:rsidRPr="006949B5" w:rsidRDefault="00522BE7" w:rsidP="0069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(68,7%)</w:t>
            </w:r>
          </w:p>
        </w:tc>
      </w:tr>
      <w:tr w:rsidR="00522BE7" w:rsidRPr="006949B5" w:rsidTr="00332E31">
        <w:trPr>
          <w:jc w:val="center"/>
        </w:trPr>
        <w:tc>
          <w:tcPr>
            <w:tcW w:w="896" w:type="dxa"/>
            <w:vAlign w:val="center"/>
          </w:tcPr>
          <w:p w:rsidR="00522BE7" w:rsidRPr="006949B5" w:rsidRDefault="00522BE7" w:rsidP="0069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96" w:type="dxa"/>
          </w:tcPr>
          <w:p w:rsidR="00522BE7" w:rsidRPr="006949B5" w:rsidRDefault="00522BE7" w:rsidP="0069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1777" w:type="dxa"/>
          </w:tcPr>
          <w:p w:rsidR="00522BE7" w:rsidRPr="006949B5" w:rsidRDefault="00332E31" w:rsidP="0069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522BE7" w:rsidRPr="006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6" w:type="dxa"/>
          </w:tcPr>
          <w:p w:rsidR="00522BE7" w:rsidRPr="006949B5" w:rsidRDefault="00522BE7" w:rsidP="0069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204" w:type="dxa"/>
          </w:tcPr>
          <w:p w:rsidR="00522BE7" w:rsidRPr="006949B5" w:rsidRDefault="00522BE7" w:rsidP="0069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2 %</w:t>
            </w:r>
          </w:p>
        </w:tc>
        <w:tc>
          <w:tcPr>
            <w:tcW w:w="2079" w:type="dxa"/>
          </w:tcPr>
          <w:p w:rsidR="00522BE7" w:rsidRPr="006949B5" w:rsidRDefault="00522BE7" w:rsidP="0069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 (58%)</w:t>
            </w:r>
          </w:p>
        </w:tc>
      </w:tr>
    </w:tbl>
    <w:p w:rsidR="00E06947" w:rsidRDefault="00355DB9" w:rsidP="00355DB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49B5">
        <w:rPr>
          <w:rFonts w:ascii="Times New Roman" w:eastAsia="Calibri" w:hAnsi="Times New Roman" w:cs="Times New Roman"/>
          <w:sz w:val="24"/>
          <w:szCs w:val="28"/>
        </w:rPr>
        <w:t>Сост. по источнику:</w:t>
      </w:r>
      <w:r w:rsidR="00ED39A3">
        <w:rPr>
          <w:rFonts w:ascii="Times New Roman" w:hAnsi="Times New Roman"/>
          <w:sz w:val="24"/>
          <w:szCs w:val="28"/>
        </w:rPr>
        <w:t xml:space="preserve"> </w:t>
      </w:r>
      <w:r w:rsidRPr="006949B5">
        <w:rPr>
          <w:rFonts w:ascii="Times New Roman" w:hAnsi="Times New Roman"/>
          <w:sz w:val="24"/>
          <w:szCs w:val="28"/>
        </w:rPr>
        <w:t>база решений ФАС</w:t>
      </w:r>
    </w:p>
    <w:p w:rsidR="00E06947" w:rsidRDefault="00CB7FC7" w:rsidP="00223B8E">
      <w:pPr>
        <w:pStyle w:val="a3"/>
        <w:spacing w:before="120"/>
        <w:rPr>
          <w:szCs w:val="24"/>
        </w:rPr>
      </w:pPr>
      <w:r w:rsidRPr="00CB7FC7">
        <w:rPr>
          <w:szCs w:val="24"/>
        </w:rPr>
        <w:t xml:space="preserve">Что касается вида </w:t>
      </w:r>
      <w:r w:rsidR="00BA316C">
        <w:rPr>
          <w:szCs w:val="24"/>
        </w:rPr>
        <w:t xml:space="preserve">предписаний, </w:t>
      </w:r>
      <w:r w:rsidRPr="00CB7FC7">
        <w:rPr>
          <w:szCs w:val="24"/>
        </w:rPr>
        <w:t xml:space="preserve">то в России предпочтение отдается </w:t>
      </w:r>
      <w:proofErr w:type="gramStart"/>
      <w:r w:rsidRPr="00CB7FC7">
        <w:rPr>
          <w:i/>
          <w:szCs w:val="24"/>
        </w:rPr>
        <w:t>поведенческим</w:t>
      </w:r>
      <w:proofErr w:type="gramEnd"/>
      <w:r w:rsidRPr="00CB7FC7">
        <w:rPr>
          <w:szCs w:val="24"/>
        </w:rPr>
        <w:t xml:space="preserve">, что и демонстрирует выборка (88% </w:t>
      </w:r>
      <w:r w:rsidR="00332E31">
        <w:rPr>
          <w:szCs w:val="24"/>
        </w:rPr>
        <w:t>предписаний</w:t>
      </w:r>
      <w:r w:rsidRPr="00CB7FC7">
        <w:rPr>
          <w:szCs w:val="24"/>
        </w:rPr>
        <w:t>).</w:t>
      </w:r>
      <w:r>
        <w:rPr>
          <w:szCs w:val="24"/>
        </w:rPr>
        <w:t xml:space="preserve"> </w:t>
      </w:r>
      <w:r w:rsidR="004F05C9">
        <w:rPr>
          <w:szCs w:val="24"/>
        </w:rPr>
        <w:t>В</w:t>
      </w:r>
      <w:r w:rsidR="00AE7366">
        <w:rPr>
          <w:szCs w:val="24"/>
        </w:rPr>
        <w:t xml:space="preserve"> США и ЕС</w:t>
      </w:r>
      <w:r w:rsidR="004F05C9">
        <w:rPr>
          <w:szCs w:val="24"/>
        </w:rPr>
        <w:t xml:space="preserve">, напротив, </w:t>
      </w:r>
      <w:r w:rsidR="004F05C9" w:rsidRPr="004F05C9">
        <w:rPr>
          <w:szCs w:val="24"/>
        </w:rPr>
        <w:t xml:space="preserve">отдается предпочтение </w:t>
      </w:r>
      <w:r w:rsidR="004F05C9" w:rsidRPr="00AE7366">
        <w:rPr>
          <w:i/>
          <w:szCs w:val="24"/>
        </w:rPr>
        <w:t>структурным</w:t>
      </w:r>
      <w:r w:rsidR="004F05C9" w:rsidRPr="004F05C9">
        <w:rPr>
          <w:szCs w:val="24"/>
        </w:rPr>
        <w:t xml:space="preserve"> </w:t>
      </w:r>
      <w:r w:rsidR="009E7877">
        <w:rPr>
          <w:szCs w:val="24"/>
        </w:rPr>
        <w:t>предписаниям</w:t>
      </w:r>
      <w:r w:rsidR="006C07A6">
        <w:rPr>
          <w:szCs w:val="24"/>
        </w:rPr>
        <w:t xml:space="preserve"> (</w:t>
      </w:r>
      <w:proofErr w:type="spellStart"/>
      <w:r w:rsidR="006C07A6">
        <w:rPr>
          <w:szCs w:val="24"/>
        </w:rPr>
        <w:t>Balto</w:t>
      </w:r>
      <w:proofErr w:type="spellEnd"/>
      <w:r w:rsidR="006C07A6">
        <w:rPr>
          <w:szCs w:val="24"/>
        </w:rPr>
        <w:t xml:space="preserve"> D.A., </w:t>
      </w:r>
      <w:r w:rsidR="004F05C9" w:rsidRPr="004F05C9">
        <w:rPr>
          <w:szCs w:val="24"/>
        </w:rPr>
        <w:t>2000).</w:t>
      </w:r>
    </w:p>
    <w:p w:rsidR="00E17746" w:rsidRDefault="00E17746" w:rsidP="00E17746">
      <w:pPr>
        <w:pStyle w:val="a3"/>
        <w:ind w:firstLine="709"/>
        <w:rPr>
          <w:sz w:val="24"/>
        </w:rPr>
      </w:pPr>
      <w:r w:rsidRPr="00E17746">
        <w:rPr>
          <w:szCs w:val="28"/>
        </w:rPr>
        <w:t>В ходе исследования были построены две модели бинарного выбора: с зависимой переменной, характеризующей выдв</w:t>
      </w:r>
      <w:r w:rsidR="002F5462">
        <w:rPr>
          <w:szCs w:val="28"/>
        </w:rPr>
        <w:t>ижение структурных предписаний</w:t>
      </w:r>
      <w:r w:rsidR="0080573A">
        <w:rPr>
          <w:szCs w:val="28"/>
        </w:rPr>
        <w:t xml:space="preserve"> (модель 1)</w:t>
      </w:r>
      <w:r w:rsidR="007325E5">
        <w:rPr>
          <w:szCs w:val="28"/>
        </w:rPr>
        <w:t xml:space="preserve"> и</w:t>
      </w:r>
      <w:r w:rsidRPr="00E17746">
        <w:rPr>
          <w:szCs w:val="28"/>
        </w:rPr>
        <w:t xml:space="preserve"> </w:t>
      </w:r>
      <w:r w:rsidR="007325E5">
        <w:rPr>
          <w:szCs w:val="28"/>
        </w:rPr>
        <w:t>применение</w:t>
      </w:r>
      <w:r w:rsidRPr="00E17746">
        <w:rPr>
          <w:szCs w:val="28"/>
        </w:rPr>
        <w:t xml:space="preserve"> ценовы</w:t>
      </w:r>
      <w:r w:rsidR="007325E5">
        <w:rPr>
          <w:szCs w:val="28"/>
        </w:rPr>
        <w:t>х</w:t>
      </w:r>
      <w:r w:rsidRPr="00E17746">
        <w:rPr>
          <w:szCs w:val="28"/>
        </w:rPr>
        <w:t xml:space="preserve"> предписани</w:t>
      </w:r>
      <w:r w:rsidR="007325E5">
        <w:rPr>
          <w:szCs w:val="28"/>
        </w:rPr>
        <w:t xml:space="preserve">й </w:t>
      </w:r>
      <w:r w:rsidR="0080573A">
        <w:rPr>
          <w:szCs w:val="28"/>
        </w:rPr>
        <w:t>(модель 2)</w:t>
      </w:r>
      <w:r w:rsidRPr="00E17746">
        <w:rPr>
          <w:szCs w:val="28"/>
        </w:rPr>
        <w:t xml:space="preserve">. </w:t>
      </w:r>
      <w:r>
        <w:rPr>
          <w:szCs w:val="28"/>
        </w:rPr>
        <w:t xml:space="preserve">В качестве регрессоров выступали переменные, характеризующие отраслевую принадлежность сделки, рыночные доли участников слияния, вид слияния, </w:t>
      </w:r>
      <w:r w:rsidR="0060345A">
        <w:rPr>
          <w:szCs w:val="28"/>
        </w:rPr>
        <w:t>принадлежность к группе фирм, национальн</w:t>
      </w:r>
      <w:r w:rsidR="009E7877">
        <w:rPr>
          <w:szCs w:val="28"/>
        </w:rPr>
        <w:t>ую</w:t>
      </w:r>
      <w:r w:rsidR="0060345A">
        <w:rPr>
          <w:szCs w:val="28"/>
        </w:rPr>
        <w:t xml:space="preserve"> принадлежность участников.</w:t>
      </w:r>
    </w:p>
    <w:p w:rsidR="002F5462" w:rsidRPr="00223B8E" w:rsidRDefault="00F06F7F" w:rsidP="00223B8E">
      <w:pPr>
        <w:pStyle w:val="a3"/>
        <w:rPr>
          <w:b/>
        </w:rPr>
      </w:pPr>
      <w:r w:rsidRPr="00223B8E">
        <w:rPr>
          <w:b/>
        </w:rPr>
        <w:t>Результаты</w:t>
      </w:r>
      <w:r w:rsidR="002F5462" w:rsidRPr="00223B8E">
        <w:rPr>
          <w:b/>
        </w:rPr>
        <w:t xml:space="preserve"> оценивания</w:t>
      </w:r>
    </w:p>
    <w:p w:rsidR="0020027E" w:rsidRDefault="002F5462" w:rsidP="00047DBD">
      <w:pPr>
        <w:pStyle w:val="ac"/>
        <w:ind w:firstLine="709"/>
      </w:pPr>
      <w:r w:rsidRPr="002F5462">
        <w:t xml:space="preserve">В ходе исследования были построены </w:t>
      </w:r>
      <w:r w:rsidR="003662E5">
        <w:t xml:space="preserve">логит </w:t>
      </w:r>
      <w:r>
        <w:t xml:space="preserve">и </w:t>
      </w:r>
      <w:proofErr w:type="gramStart"/>
      <w:r>
        <w:t>пробит</w:t>
      </w:r>
      <w:proofErr w:type="gramEnd"/>
      <w:r>
        <w:t xml:space="preserve"> модели</w:t>
      </w:r>
      <w:r w:rsidR="0080573A">
        <w:t xml:space="preserve">. </w:t>
      </w:r>
      <w:r w:rsidR="00047DBD">
        <w:t>Лучшая модель выбиралась на основе сравнения таких параметров, как</w:t>
      </w:r>
      <w:r w:rsidR="00047DBD" w:rsidRPr="00047DBD">
        <w:t xml:space="preserve"> значимость </w:t>
      </w:r>
      <w:r w:rsidR="00047DBD">
        <w:t xml:space="preserve">коэффициентов, </w:t>
      </w:r>
      <w:r w:rsidR="00047DBD" w:rsidRPr="00047DBD">
        <w:t xml:space="preserve">псевдо </w:t>
      </w:r>
      <w:r w:rsidR="00047DBD" w:rsidRPr="00047DBD">
        <w:rPr>
          <w:lang w:val="en-US"/>
        </w:rPr>
        <w:t>R</w:t>
      </w:r>
      <w:r w:rsidR="00047DBD" w:rsidRPr="00047DBD">
        <w:rPr>
          <w:vertAlign w:val="superscript"/>
        </w:rPr>
        <w:t>2</w:t>
      </w:r>
      <w:r w:rsidR="00047DBD">
        <w:t xml:space="preserve">, функция правдоподобия, </w:t>
      </w:r>
      <w:r w:rsidR="00047DBD" w:rsidRPr="00047DBD">
        <w:t>и</w:t>
      </w:r>
      <w:r w:rsidR="00E15B7D">
        <w:t xml:space="preserve">нформационные критерии </w:t>
      </w:r>
      <w:proofErr w:type="spellStart"/>
      <w:r w:rsidR="00E15B7D">
        <w:t>Акаике</w:t>
      </w:r>
      <w:proofErr w:type="spellEnd"/>
      <w:r w:rsidR="00E15B7D">
        <w:t xml:space="preserve">, </w:t>
      </w:r>
      <w:r w:rsidR="00047DBD" w:rsidRPr="00047DBD">
        <w:t>Шварца</w:t>
      </w:r>
      <w:r w:rsidR="00047DBD">
        <w:t xml:space="preserve">, </w:t>
      </w:r>
      <w:r w:rsidR="00047DBD" w:rsidRPr="00047DBD">
        <w:t>площадь под ROC кривой</w:t>
      </w:r>
      <w:r w:rsidR="00047DBD">
        <w:t xml:space="preserve">. </w:t>
      </w:r>
      <w:r w:rsidR="0080573A">
        <w:t>В результате д</w:t>
      </w:r>
      <w:r w:rsidR="003662E5">
        <w:t>ля модели </w:t>
      </w:r>
      <w:r w:rsidR="0080573A" w:rsidRPr="0080573A">
        <w:t>1</w:t>
      </w:r>
      <w:r w:rsidR="002B7880">
        <w:t xml:space="preserve"> </w:t>
      </w:r>
      <w:r w:rsidR="00047DBD">
        <w:t>лучшей оказалась</w:t>
      </w:r>
      <w:r w:rsidR="002B7880">
        <w:t xml:space="preserve"> </w:t>
      </w:r>
      <w:proofErr w:type="gramStart"/>
      <w:r w:rsidR="002B7880">
        <w:t>пробит</w:t>
      </w:r>
      <w:proofErr w:type="gramEnd"/>
      <w:r w:rsidR="002B7880">
        <w:t xml:space="preserve"> модель, а для модели 2 — </w:t>
      </w:r>
      <w:r w:rsidR="00013EB3">
        <w:t xml:space="preserve">логит. Для </w:t>
      </w:r>
      <w:r w:rsidR="00013EB3">
        <w:lastRenderedPageBreak/>
        <w:t>интерпретации результатов необходимо</w:t>
      </w:r>
      <w:r w:rsidR="00013EB3" w:rsidRPr="00013EB3">
        <w:t xml:space="preserve"> </w:t>
      </w:r>
      <w:r w:rsidR="00013EB3">
        <w:t>обратить</w:t>
      </w:r>
      <w:r w:rsidR="00013EB3" w:rsidRPr="00013EB3">
        <w:t xml:space="preserve"> внимание на значимость и знак коэффицие</w:t>
      </w:r>
      <w:r w:rsidR="00013EB3">
        <w:t>нтов.</w:t>
      </w:r>
      <w:r w:rsidR="00D93FBD">
        <w:t xml:space="preserve"> </w:t>
      </w:r>
      <w:r w:rsidR="00C160C2">
        <w:t>Для</w:t>
      </w:r>
      <w:r w:rsidR="00013EB3" w:rsidRPr="00013EB3">
        <w:t xml:space="preserve"> интерпрет</w:t>
      </w:r>
      <w:r w:rsidR="00C160C2">
        <w:t>ации</w:t>
      </w:r>
      <w:r w:rsidR="00013EB3" w:rsidRPr="00013EB3">
        <w:t xml:space="preserve"> величин</w:t>
      </w:r>
      <w:r w:rsidR="00812995">
        <w:t xml:space="preserve">ы </w:t>
      </w:r>
      <w:r w:rsidR="009E7877">
        <w:t>влияния факторов</w:t>
      </w:r>
      <w:r w:rsidR="00567EF7">
        <w:t xml:space="preserve"> </w:t>
      </w:r>
      <w:r w:rsidR="00013EB3" w:rsidRPr="00013EB3">
        <w:t>был</w:t>
      </w:r>
      <w:r w:rsidR="00567EF7">
        <w:t>и рассчитаны их предельные эффекты.</w:t>
      </w:r>
    </w:p>
    <w:p w:rsidR="00574131" w:rsidRDefault="00B81714" w:rsidP="00E15B7D">
      <w:pPr>
        <w:pStyle w:val="a3"/>
      </w:pPr>
      <w:r w:rsidRPr="00B81714">
        <w:t>В результате построения модели</w:t>
      </w:r>
      <w:r w:rsidR="009E7877">
        <w:t xml:space="preserve"> 1</w:t>
      </w:r>
      <w:r w:rsidRPr="00B81714">
        <w:t xml:space="preserve"> </w:t>
      </w:r>
      <w:r>
        <w:t xml:space="preserve">(таблица 2) </w:t>
      </w:r>
      <w:r w:rsidRPr="00B81714">
        <w:t xml:space="preserve">было выявлено, что на применение структурных корректирующих условий </w:t>
      </w:r>
      <w:r>
        <w:t xml:space="preserve">положительно </w:t>
      </w:r>
      <w:r w:rsidRPr="00B81714">
        <w:t>влияет отраслевая принадлежность фирм, высокая рыночная доля покупателя</w:t>
      </w:r>
      <w:r>
        <w:t>, принадлежность продавца к группе</w:t>
      </w:r>
      <w:r w:rsidRPr="00B81714">
        <w:t xml:space="preserve"> и горизонтальный характер сделки. Что касается вероятности применения ценовых поведенческих предписаний</w:t>
      </w:r>
      <w:r>
        <w:t xml:space="preserve"> (таблица 3)</w:t>
      </w:r>
      <w:r w:rsidRPr="00B81714">
        <w:t>, то влияние оказывают отраслевая принадлежность</w:t>
      </w:r>
      <w:r w:rsidR="00A3286C">
        <w:t xml:space="preserve"> фирм, принадлежность к группе</w:t>
      </w:r>
      <w:r w:rsidRPr="00B81714">
        <w:t xml:space="preserve"> покупате</w:t>
      </w:r>
      <w:r w:rsidR="00A3286C">
        <w:t xml:space="preserve">ля, высокая рыночная доля </w:t>
      </w:r>
      <w:r w:rsidRPr="00B81714">
        <w:t>продавца и вертикальный характер сделки. Значимость соответствующего вида слияния в обеих моделях говорит об экономической обоснованности решений ФАС.</w:t>
      </w:r>
    </w:p>
    <w:p w:rsidR="00D93FBD" w:rsidRPr="00D93FBD" w:rsidRDefault="00D93FBD" w:rsidP="00FA42BF">
      <w:pPr>
        <w:pStyle w:val="a3"/>
        <w:spacing w:before="120" w:line="240" w:lineRule="auto"/>
        <w:ind w:firstLine="0"/>
        <w:jc w:val="right"/>
      </w:pPr>
      <w:r w:rsidRPr="00D93FBD">
        <w:t>Таблица 2</w:t>
      </w:r>
    </w:p>
    <w:p w:rsidR="00D93FBD" w:rsidRPr="00E15B7D" w:rsidRDefault="00567EF7" w:rsidP="00FA42BF">
      <w:pPr>
        <w:pStyle w:val="a3"/>
        <w:spacing w:after="120" w:line="240" w:lineRule="auto"/>
        <w:jc w:val="center"/>
        <w:rPr>
          <w:b/>
        </w:rPr>
      </w:pPr>
      <w:r>
        <w:rPr>
          <w:b/>
        </w:rPr>
        <w:t>Результаты построения модели</w:t>
      </w:r>
      <w:r w:rsidR="00D93FBD" w:rsidRPr="00E15B7D">
        <w:rPr>
          <w:b/>
        </w:rPr>
        <w:t xml:space="preserve"> 1 (</w:t>
      </w:r>
      <w:proofErr w:type="gramStart"/>
      <w:r w:rsidR="00D93FBD" w:rsidRPr="00E15B7D">
        <w:rPr>
          <w:b/>
        </w:rPr>
        <w:t>пробит</w:t>
      </w:r>
      <w:proofErr w:type="gramEnd"/>
      <w:r w:rsidR="00D93FBD" w:rsidRPr="00E15B7D">
        <w:rPr>
          <w:b/>
        </w:rPr>
        <w:t>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1843"/>
      </w:tblGrid>
      <w:tr w:rsidR="00D93FBD" w:rsidRPr="00D93FBD" w:rsidTr="007B4941">
        <w:trPr>
          <w:trHeight w:hRule="exact" w:val="340"/>
          <w:jc w:val="center"/>
        </w:trPr>
        <w:tc>
          <w:tcPr>
            <w:tcW w:w="1951" w:type="dxa"/>
            <w:vAlign w:val="center"/>
          </w:tcPr>
          <w:p w:rsidR="00D93FBD" w:rsidRPr="00D93FBD" w:rsidRDefault="00D93FBD" w:rsidP="00111133">
            <w:pPr>
              <w:pStyle w:val="a3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D93FBD">
              <w:rPr>
                <w:rFonts w:cs="Times New Roman"/>
                <w:b/>
                <w:sz w:val="24"/>
              </w:rPr>
              <w:t>Переменная</w:t>
            </w:r>
          </w:p>
        </w:tc>
        <w:tc>
          <w:tcPr>
            <w:tcW w:w="2268" w:type="dxa"/>
            <w:vAlign w:val="center"/>
          </w:tcPr>
          <w:p w:rsidR="00D93FBD" w:rsidRPr="00D93FBD" w:rsidRDefault="00D93FBD" w:rsidP="00111133">
            <w:pPr>
              <w:pStyle w:val="a3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D93FBD">
              <w:rPr>
                <w:rFonts w:cs="Times New Roman"/>
                <w:b/>
                <w:sz w:val="24"/>
              </w:rPr>
              <w:t>Коэффициент</w:t>
            </w:r>
          </w:p>
        </w:tc>
        <w:tc>
          <w:tcPr>
            <w:tcW w:w="1843" w:type="dxa"/>
            <w:vAlign w:val="center"/>
          </w:tcPr>
          <w:p w:rsidR="00D93FBD" w:rsidRPr="00D93FBD" w:rsidRDefault="00D93FBD" w:rsidP="00111133">
            <w:pPr>
              <w:pStyle w:val="a3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D93FB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P&gt;z</w:t>
            </w:r>
          </w:p>
        </w:tc>
        <w:tc>
          <w:tcPr>
            <w:tcW w:w="1843" w:type="dxa"/>
          </w:tcPr>
          <w:p w:rsidR="00D93FBD" w:rsidRPr="00D93FBD" w:rsidRDefault="00BB1C25" w:rsidP="00111133">
            <w:pPr>
              <w:pStyle w:val="a3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2DCF">
              <w:rPr>
                <w:b/>
                <w:sz w:val="24"/>
                <w:szCs w:val="24"/>
                <w:lang w:val="en-US"/>
              </w:rPr>
              <w:t>dy</w:t>
            </w:r>
            <w:proofErr w:type="spellEnd"/>
            <w:r w:rsidRPr="00212DCF">
              <w:rPr>
                <w:b/>
                <w:sz w:val="24"/>
                <w:szCs w:val="24"/>
                <w:lang w:val="en-US"/>
              </w:rPr>
              <w:t>/dx</w:t>
            </w:r>
          </w:p>
        </w:tc>
      </w:tr>
      <w:tr w:rsidR="00D93FBD" w:rsidRPr="00D93FBD" w:rsidTr="007B4941">
        <w:trPr>
          <w:jc w:val="center"/>
        </w:trPr>
        <w:tc>
          <w:tcPr>
            <w:tcW w:w="1951" w:type="dxa"/>
          </w:tcPr>
          <w:p w:rsidR="00D93FBD" w:rsidRPr="00D93FBD" w:rsidRDefault="00D93FBD" w:rsidP="001111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Sector</w:t>
            </w:r>
            <w:proofErr w:type="spellEnd"/>
            <w:r w:rsidRPr="00D93F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  <w:vAlign w:val="center"/>
          </w:tcPr>
          <w:p w:rsidR="00D93FBD" w:rsidRPr="00D93FBD" w:rsidRDefault="00D93FBD" w:rsidP="00111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1.126419</w:t>
            </w:r>
          </w:p>
        </w:tc>
        <w:tc>
          <w:tcPr>
            <w:tcW w:w="1843" w:type="dxa"/>
            <w:vAlign w:val="center"/>
          </w:tcPr>
          <w:p w:rsidR="00D93FBD" w:rsidRPr="00D93FBD" w:rsidRDefault="00D93FBD" w:rsidP="00111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0.034</w:t>
            </w:r>
          </w:p>
        </w:tc>
        <w:tc>
          <w:tcPr>
            <w:tcW w:w="1843" w:type="dxa"/>
          </w:tcPr>
          <w:p w:rsidR="00D93FBD" w:rsidRPr="00D93FBD" w:rsidRDefault="00BB1C25" w:rsidP="00111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B1C25">
              <w:rPr>
                <w:rFonts w:ascii="Times New Roman" w:hAnsi="Times New Roman" w:cs="Times New Roman"/>
                <w:i/>
                <w:sz w:val="24"/>
                <w:szCs w:val="24"/>
              </w:rPr>
              <w:t>.29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93FBD" w:rsidRPr="00D93FBD" w:rsidTr="007B4941">
        <w:trPr>
          <w:jc w:val="center"/>
        </w:trPr>
        <w:tc>
          <w:tcPr>
            <w:tcW w:w="1951" w:type="dxa"/>
          </w:tcPr>
          <w:p w:rsidR="00D93FBD" w:rsidRPr="00D93FBD" w:rsidRDefault="00D93FBD" w:rsidP="001111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Sector</w:t>
            </w:r>
            <w:proofErr w:type="spellEnd"/>
            <w:r w:rsidRPr="00D93F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</w:p>
        </w:tc>
        <w:tc>
          <w:tcPr>
            <w:tcW w:w="2268" w:type="dxa"/>
            <w:vAlign w:val="center"/>
          </w:tcPr>
          <w:p w:rsidR="00D93FBD" w:rsidRPr="00D93FBD" w:rsidRDefault="00D93FBD" w:rsidP="00111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1.46942</w:t>
            </w:r>
          </w:p>
        </w:tc>
        <w:tc>
          <w:tcPr>
            <w:tcW w:w="1843" w:type="dxa"/>
            <w:vAlign w:val="center"/>
          </w:tcPr>
          <w:p w:rsidR="00D93FBD" w:rsidRPr="00D93FBD" w:rsidRDefault="00D93FBD" w:rsidP="00111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0.069</w:t>
            </w:r>
          </w:p>
        </w:tc>
        <w:tc>
          <w:tcPr>
            <w:tcW w:w="1843" w:type="dxa"/>
          </w:tcPr>
          <w:p w:rsidR="00D93FBD" w:rsidRPr="00D93FBD" w:rsidRDefault="00BB1C25" w:rsidP="00111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B1C25">
              <w:rPr>
                <w:rFonts w:ascii="Times New Roman" w:hAnsi="Times New Roman" w:cs="Times New Roman"/>
                <w:i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B1C25" w:rsidRPr="00D93FBD" w:rsidTr="007B4941">
        <w:trPr>
          <w:jc w:val="center"/>
        </w:trPr>
        <w:tc>
          <w:tcPr>
            <w:tcW w:w="1951" w:type="dxa"/>
          </w:tcPr>
          <w:p w:rsidR="00BB1C25" w:rsidRPr="00D93FBD" w:rsidRDefault="00BB1C25" w:rsidP="00111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Acquirer3</w:t>
            </w:r>
          </w:p>
        </w:tc>
        <w:tc>
          <w:tcPr>
            <w:tcW w:w="2268" w:type="dxa"/>
            <w:vAlign w:val="center"/>
          </w:tcPr>
          <w:p w:rsidR="00BB1C25" w:rsidRPr="00D93FBD" w:rsidRDefault="00BB1C25" w:rsidP="00111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1.364103</w:t>
            </w:r>
          </w:p>
        </w:tc>
        <w:tc>
          <w:tcPr>
            <w:tcW w:w="1843" w:type="dxa"/>
            <w:vAlign w:val="center"/>
          </w:tcPr>
          <w:p w:rsidR="00BB1C25" w:rsidRPr="00D93FBD" w:rsidRDefault="00BB1C25" w:rsidP="00111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0.002</w:t>
            </w:r>
          </w:p>
        </w:tc>
        <w:tc>
          <w:tcPr>
            <w:tcW w:w="1843" w:type="dxa"/>
          </w:tcPr>
          <w:p w:rsidR="00BB1C25" w:rsidRPr="00BB1C25" w:rsidRDefault="00BB1C25" w:rsidP="00111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0.376</w:t>
            </w:r>
          </w:p>
        </w:tc>
      </w:tr>
      <w:tr w:rsidR="00BB1C25" w:rsidRPr="00D93FBD" w:rsidTr="007B4941">
        <w:trPr>
          <w:jc w:val="center"/>
        </w:trPr>
        <w:tc>
          <w:tcPr>
            <w:tcW w:w="1951" w:type="dxa"/>
          </w:tcPr>
          <w:p w:rsidR="00BB1C25" w:rsidRPr="00D93FBD" w:rsidRDefault="00BB1C25" w:rsidP="00111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Group2</w:t>
            </w:r>
          </w:p>
        </w:tc>
        <w:tc>
          <w:tcPr>
            <w:tcW w:w="2268" w:type="dxa"/>
            <w:vAlign w:val="center"/>
          </w:tcPr>
          <w:p w:rsidR="00BB1C25" w:rsidRPr="00D93FBD" w:rsidRDefault="00BB1C25" w:rsidP="00111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.7479354</w:t>
            </w:r>
          </w:p>
        </w:tc>
        <w:tc>
          <w:tcPr>
            <w:tcW w:w="1843" w:type="dxa"/>
            <w:vAlign w:val="center"/>
          </w:tcPr>
          <w:p w:rsidR="00BB1C25" w:rsidRPr="00D93FBD" w:rsidRDefault="00BB1C25" w:rsidP="00111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0.078</w:t>
            </w:r>
          </w:p>
        </w:tc>
        <w:tc>
          <w:tcPr>
            <w:tcW w:w="1843" w:type="dxa"/>
          </w:tcPr>
          <w:p w:rsidR="00BB1C25" w:rsidRPr="00D93FBD" w:rsidRDefault="00BB1C25" w:rsidP="00111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B1C25">
              <w:rPr>
                <w:rFonts w:ascii="Times New Roman" w:hAnsi="Times New Roman" w:cs="Times New Roman"/>
                <w:i/>
                <w:sz w:val="24"/>
                <w:szCs w:val="24"/>
              </w:rPr>
              <w:t>.167</w:t>
            </w:r>
          </w:p>
        </w:tc>
      </w:tr>
      <w:tr w:rsidR="00BB1C25" w:rsidRPr="00D93FBD" w:rsidTr="007B4941">
        <w:trPr>
          <w:jc w:val="center"/>
        </w:trPr>
        <w:tc>
          <w:tcPr>
            <w:tcW w:w="1951" w:type="dxa"/>
          </w:tcPr>
          <w:p w:rsidR="00BB1C25" w:rsidRPr="00D93FBD" w:rsidRDefault="00BB1C25" w:rsidP="00111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Hmerger</w:t>
            </w:r>
            <w:proofErr w:type="spellEnd"/>
          </w:p>
        </w:tc>
        <w:tc>
          <w:tcPr>
            <w:tcW w:w="2268" w:type="dxa"/>
            <w:vAlign w:val="center"/>
          </w:tcPr>
          <w:p w:rsidR="00BB1C25" w:rsidRPr="00D93FBD" w:rsidRDefault="00BB1C25" w:rsidP="00111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1.142683</w:t>
            </w:r>
          </w:p>
        </w:tc>
        <w:tc>
          <w:tcPr>
            <w:tcW w:w="1843" w:type="dxa"/>
            <w:vAlign w:val="center"/>
          </w:tcPr>
          <w:p w:rsidR="00BB1C25" w:rsidRPr="00D93FBD" w:rsidRDefault="00BB1C25" w:rsidP="00111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0.007</w:t>
            </w:r>
          </w:p>
        </w:tc>
        <w:tc>
          <w:tcPr>
            <w:tcW w:w="1843" w:type="dxa"/>
          </w:tcPr>
          <w:p w:rsidR="00BB1C25" w:rsidRPr="00D93FBD" w:rsidRDefault="00BB1C25" w:rsidP="00111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B1C25">
              <w:rPr>
                <w:rFonts w:ascii="Times New Roman" w:hAnsi="Times New Roman" w:cs="Times New Roman"/>
                <w:i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D93FBD" w:rsidRPr="00D93FBD" w:rsidRDefault="00D93FBD" w:rsidP="00FA42BF">
      <w:pPr>
        <w:pStyle w:val="a3"/>
        <w:spacing w:before="120" w:line="240" w:lineRule="auto"/>
        <w:ind w:firstLine="0"/>
        <w:jc w:val="right"/>
      </w:pPr>
      <w:r w:rsidRPr="00D93FBD">
        <w:t>Таблица 3</w:t>
      </w:r>
    </w:p>
    <w:p w:rsidR="00D93FBD" w:rsidRPr="00E15B7D" w:rsidRDefault="00567EF7" w:rsidP="00FA42BF">
      <w:pPr>
        <w:pStyle w:val="a3"/>
        <w:spacing w:after="120" w:line="240" w:lineRule="auto"/>
        <w:jc w:val="center"/>
        <w:rPr>
          <w:b/>
        </w:rPr>
      </w:pPr>
      <w:r>
        <w:rPr>
          <w:b/>
        </w:rPr>
        <w:t>Результаты построения модели</w:t>
      </w:r>
      <w:r w:rsidR="00D93FBD" w:rsidRPr="00E15B7D">
        <w:rPr>
          <w:b/>
        </w:rPr>
        <w:t xml:space="preserve"> 2 (логит)</w:t>
      </w:r>
    </w:p>
    <w:tbl>
      <w:tblPr>
        <w:tblStyle w:val="ab"/>
        <w:tblW w:w="0" w:type="auto"/>
        <w:jc w:val="center"/>
        <w:tblInd w:w="-213" w:type="dxa"/>
        <w:tblLook w:val="04A0" w:firstRow="1" w:lastRow="0" w:firstColumn="1" w:lastColumn="0" w:noHBand="0" w:noVBand="1"/>
      </w:tblPr>
      <w:tblGrid>
        <w:gridCol w:w="2029"/>
        <w:gridCol w:w="1724"/>
        <w:gridCol w:w="1701"/>
        <w:gridCol w:w="1701"/>
      </w:tblGrid>
      <w:tr w:rsidR="00D93FBD" w:rsidRPr="00D93FBD" w:rsidTr="007B4941">
        <w:trPr>
          <w:trHeight w:hRule="exact" w:val="340"/>
          <w:jc w:val="center"/>
        </w:trPr>
        <w:tc>
          <w:tcPr>
            <w:tcW w:w="2029" w:type="dxa"/>
            <w:vAlign w:val="center"/>
          </w:tcPr>
          <w:p w:rsidR="00D93FBD" w:rsidRPr="00D93FBD" w:rsidRDefault="00D93FBD" w:rsidP="00E15B7D">
            <w:pPr>
              <w:pStyle w:val="a3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D93FBD">
              <w:rPr>
                <w:rFonts w:cs="Times New Roman"/>
                <w:b/>
                <w:sz w:val="24"/>
              </w:rPr>
              <w:t>Переменная</w:t>
            </w:r>
          </w:p>
        </w:tc>
        <w:tc>
          <w:tcPr>
            <w:tcW w:w="1724" w:type="dxa"/>
            <w:vAlign w:val="center"/>
          </w:tcPr>
          <w:p w:rsidR="00D93FBD" w:rsidRPr="00D93FBD" w:rsidRDefault="00D93FBD" w:rsidP="00E15B7D">
            <w:pPr>
              <w:pStyle w:val="a3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D93FBD">
              <w:rPr>
                <w:rFonts w:cs="Times New Roman"/>
                <w:b/>
                <w:sz w:val="24"/>
              </w:rPr>
              <w:t>Коэффициент</w:t>
            </w:r>
          </w:p>
        </w:tc>
        <w:tc>
          <w:tcPr>
            <w:tcW w:w="1701" w:type="dxa"/>
            <w:vAlign w:val="center"/>
          </w:tcPr>
          <w:p w:rsidR="00D93FBD" w:rsidRPr="00D93FBD" w:rsidRDefault="00D93FBD" w:rsidP="00E15B7D">
            <w:pPr>
              <w:pStyle w:val="a3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D93FB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P&gt;z</w:t>
            </w:r>
          </w:p>
        </w:tc>
        <w:tc>
          <w:tcPr>
            <w:tcW w:w="1701" w:type="dxa"/>
          </w:tcPr>
          <w:p w:rsidR="00D93FBD" w:rsidRPr="00D93FBD" w:rsidRDefault="00BB1C25" w:rsidP="00E15B7D">
            <w:pPr>
              <w:pStyle w:val="a3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2DCF">
              <w:rPr>
                <w:b/>
                <w:sz w:val="24"/>
                <w:szCs w:val="24"/>
                <w:lang w:val="en-US"/>
              </w:rPr>
              <w:t>dy</w:t>
            </w:r>
            <w:proofErr w:type="spellEnd"/>
            <w:r w:rsidRPr="00212DCF">
              <w:rPr>
                <w:b/>
                <w:sz w:val="24"/>
                <w:szCs w:val="24"/>
                <w:lang w:val="en-US"/>
              </w:rPr>
              <w:t>/dx</w:t>
            </w:r>
          </w:p>
        </w:tc>
      </w:tr>
      <w:tr w:rsidR="0096351E" w:rsidRPr="00D93FBD" w:rsidTr="007B4941">
        <w:trPr>
          <w:jc w:val="center"/>
        </w:trPr>
        <w:tc>
          <w:tcPr>
            <w:tcW w:w="2029" w:type="dxa"/>
            <w:vAlign w:val="center"/>
          </w:tcPr>
          <w:p w:rsidR="0096351E" w:rsidRPr="00D93FBD" w:rsidRDefault="0096351E" w:rsidP="00E15B7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Sector</w:t>
            </w:r>
            <w:proofErr w:type="spellEnd"/>
            <w:r w:rsidRPr="00D93F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1724" w:type="dxa"/>
            <w:vAlign w:val="center"/>
          </w:tcPr>
          <w:p w:rsidR="0096351E" w:rsidRPr="00D93FBD" w:rsidRDefault="0096351E" w:rsidP="00E15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3.924182</w:t>
            </w:r>
          </w:p>
        </w:tc>
        <w:tc>
          <w:tcPr>
            <w:tcW w:w="1701" w:type="dxa"/>
            <w:vAlign w:val="center"/>
          </w:tcPr>
          <w:p w:rsidR="0096351E" w:rsidRPr="00D93FBD" w:rsidRDefault="0096351E" w:rsidP="00E15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0.005</w:t>
            </w:r>
          </w:p>
        </w:tc>
        <w:tc>
          <w:tcPr>
            <w:tcW w:w="1701" w:type="dxa"/>
          </w:tcPr>
          <w:p w:rsidR="0096351E" w:rsidRPr="0096351E" w:rsidRDefault="0096351E" w:rsidP="00E15B7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96351E">
              <w:rPr>
                <w:rFonts w:ascii="Times New Roman" w:hAnsi="Times New Roman" w:cs="Times New Roman"/>
                <w:i/>
                <w:sz w:val="24"/>
                <w:szCs w:val="24"/>
              </w:rPr>
              <w:t>.74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96351E" w:rsidRPr="00D93FBD" w:rsidTr="007B4941">
        <w:trPr>
          <w:jc w:val="center"/>
        </w:trPr>
        <w:tc>
          <w:tcPr>
            <w:tcW w:w="2029" w:type="dxa"/>
            <w:vAlign w:val="center"/>
          </w:tcPr>
          <w:p w:rsidR="0096351E" w:rsidRPr="00D93FBD" w:rsidRDefault="0096351E" w:rsidP="00E15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Sector</w:t>
            </w:r>
            <w:proofErr w:type="spellEnd"/>
            <w:r w:rsidRPr="00D93F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724" w:type="dxa"/>
            <w:vAlign w:val="center"/>
          </w:tcPr>
          <w:p w:rsidR="0096351E" w:rsidRPr="00D93FBD" w:rsidRDefault="0096351E" w:rsidP="00E15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3.904361</w:t>
            </w:r>
          </w:p>
        </w:tc>
        <w:tc>
          <w:tcPr>
            <w:tcW w:w="1701" w:type="dxa"/>
            <w:vAlign w:val="center"/>
          </w:tcPr>
          <w:p w:rsidR="0096351E" w:rsidRPr="00D93FBD" w:rsidRDefault="0096351E" w:rsidP="00E15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0.008</w:t>
            </w:r>
          </w:p>
        </w:tc>
        <w:tc>
          <w:tcPr>
            <w:tcW w:w="1701" w:type="dxa"/>
          </w:tcPr>
          <w:p w:rsidR="0096351E" w:rsidRPr="0096351E" w:rsidRDefault="0096351E" w:rsidP="00E15B7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96351E">
              <w:rPr>
                <w:rFonts w:ascii="Times New Roman" w:hAnsi="Times New Roman" w:cs="Times New Roman"/>
                <w:i/>
                <w:sz w:val="24"/>
                <w:szCs w:val="24"/>
              </w:rPr>
              <w:t>.69</w:t>
            </w:r>
          </w:p>
        </w:tc>
      </w:tr>
      <w:tr w:rsidR="00D93FBD" w:rsidRPr="00D93FBD" w:rsidTr="007B4941">
        <w:trPr>
          <w:jc w:val="center"/>
        </w:trPr>
        <w:tc>
          <w:tcPr>
            <w:tcW w:w="2029" w:type="dxa"/>
            <w:vAlign w:val="center"/>
          </w:tcPr>
          <w:p w:rsidR="00D93FBD" w:rsidRPr="00D93FBD" w:rsidRDefault="00D93FBD" w:rsidP="00E15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Group1</w:t>
            </w:r>
          </w:p>
        </w:tc>
        <w:tc>
          <w:tcPr>
            <w:tcW w:w="1724" w:type="dxa"/>
            <w:vAlign w:val="center"/>
          </w:tcPr>
          <w:p w:rsidR="00D93FBD" w:rsidRPr="00D93FBD" w:rsidRDefault="00D93FBD" w:rsidP="00E15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3.55429</w:t>
            </w:r>
          </w:p>
        </w:tc>
        <w:tc>
          <w:tcPr>
            <w:tcW w:w="1701" w:type="dxa"/>
            <w:vAlign w:val="center"/>
          </w:tcPr>
          <w:p w:rsidR="00D93FBD" w:rsidRPr="00D93FBD" w:rsidRDefault="00D93FBD" w:rsidP="00E15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0.012</w:t>
            </w:r>
          </w:p>
        </w:tc>
        <w:tc>
          <w:tcPr>
            <w:tcW w:w="1701" w:type="dxa"/>
          </w:tcPr>
          <w:p w:rsidR="00D93FBD" w:rsidRPr="00D93FBD" w:rsidRDefault="0096351E" w:rsidP="00E15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96351E">
              <w:rPr>
                <w:rFonts w:ascii="Times New Roman" w:hAnsi="Times New Roman" w:cs="Times New Roman"/>
                <w:i/>
                <w:sz w:val="24"/>
                <w:szCs w:val="24"/>
              </w:rPr>
              <w:t>.56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93FBD" w:rsidRPr="00D93FBD" w:rsidTr="007B4941">
        <w:trPr>
          <w:jc w:val="center"/>
        </w:trPr>
        <w:tc>
          <w:tcPr>
            <w:tcW w:w="2029" w:type="dxa"/>
            <w:vAlign w:val="center"/>
          </w:tcPr>
          <w:p w:rsidR="00D93FBD" w:rsidRPr="00D93FBD" w:rsidRDefault="00D93FBD" w:rsidP="00E15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Acquired3</w:t>
            </w:r>
          </w:p>
        </w:tc>
        <w:tc>
          <w:tcPr>
            <w:tcW w:w="1724" w:type="dxa"/>
            <w:vAlign w:val="center"/>
          </w:tcPr>
          <w:p w:rsidR="00D93FBD" w:rsidRPr="00D93FBD" w:rsidRDefault="00D93FBD" w:rsidP="00E15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2.712893</w:t>
            </w:r>
          </w:p>
        </w:tc>
        <w:tc>
          <w:tcPr>
            <w:tcW w:w="1701" w:type="dxa"/>
            <w:vAlign w:val="center"/>
          </w:tcPr>
          <w:p w:rsidR="00D93FBD" w:rsidRPr="00D93FBD" w:rsidRDefault="00D93FBD" w:rsidP="00E15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0.008</w:t>
            </w:r>
          </w:p>
        </w:tc>
        <w:tc>
          <w:tcPr>
            <w:tcW w:w="1701" w:type="dxa"/>
          </w:tcPr>
          <w:p w:rsidR="00D93FBD" w:rsidRPr="00D93FBD" w:rsidRDefault="0096351E" w:rsidP="00E15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96351E">
              <w:rPr>
                <w:rFonts w:ascii="Times New Roman" w:hAnsi="Times New Roman" w:cs="Times New Roman"/>
                <w:i/>
                <w:sz w:val="24"/>
                <w:szCs w:val="24"/>
              </w:rPr>
              <w:t>.554</w:t>
            </w:r>
          </w:p>
        </w:tc>
      </w:tr>
      <w:tr w:rsidR="00D93FBD" w:rsidRPr="00D93FBD" w:rsidTr="007B4941">
        <w:trPr>
          <w:jc w:val="center"/>
        </w:trPr>
        <w:tc>
          <w:tcPr>
            <w:tcW w:w="2029" w:type="dxa"/>
            <w:vAlign w:val="center"/>
          </w:tcPr>
          <w:p w:rsidR="00D93FBD" w:rsidRPr="00D93FBD" w:rsidRDefault="00D93FBD" w:rsidP="00E15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Vmerger</w:t>
            </w:r>
            <w:proofErr w:type="spellEnd"/>
          </w:p>
        </w:tc>
        <w:tc>
          <w:tcPr>
            <w:tcW w:w="1724" w:type="dxa"/>
            <w:vAlign w:val="center"/>
          </w:tcPr>
          <w:p w:rsidR="00D93FBD" w:rsidRPr="00D93FBD" w:rsidRDefault="00D93FBD" w:rsidP="00E15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1.761399</w:t>
            </w:r>
          </w:p>
        </w:tc>
        <w:tc>
          <w:tcPr>
            <w:tcW w:w="1701" w:type="dxa"/>
            <w:vAlign w:val="center"/>
          </w:tcPr>
          <w:p w:rsidR="00D93FBD" w:rsidRPr="00D93FBD" w:rsidRDefault="00D93FBD" w:rsidP="00E15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BD">
              <w:rPr>
                <w:rFonts w:ascii="Times New Roman" w:hAnsi="Times New Roman" w:cs="Times New Roman"/>
                <w:i/>
                <w:sz w:val="24"/>
                <w:szCs w:val="24"/>
              </w:rPr>
              <w:t>0.016</w:t>
            </w:r>
          </w:p>
        </w:tc>
        <w:tc>
          <w:tcPr>
            <w:tcW w:w="1701" w:type="dxa"/>
          </w:tcPr>
          <w:p w:rsidR="00D93FBD" w:rsidRPr="00D93FBD" w:rsidRDefault="0096351E" w:rsidP="00E15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0.406</w:t>
            </w:r>
          </w:p>
        </w:tc>
      </w:tr>
    </w:tbl>
    <w:p w:rsidR="00223B8E" w:rsidRDefault="00047DBD" w:rsidP="00223B8E">
      <w:pPr>
        <w:pStyle w:val="a3"/>
        <w:spacing w:before="120"/>
        <w:ind w:firstLine="709"/>
        <w:rPr>
          <w:szCs w:val="24"/>
        </w:rPr>
      </w:pPr>
      <w:r>
        <w:rPr>
          <w:szCs w:val="24"/>
        </w:rPr>
        <w:t xml:space="preserve">Таким образом, в результате построения моделей были выявлены </w:t>
      </w:r>
      <w:r w:rsidR="00A3286C">
        <w:rPr>
          <w:szCs w:val="24"/>
        </w:rPr>
        <w:t>значимые факторы при выдвижении</w:t>
      </w:r>
      <w:r w:rsidR="00F272DE">
        <w:rPr>
          <w:szCs w:val="24"/>
        </w:rPr>
        <w:t xml:space="preserve"> ФАС структурных и ценовых</w:t>
      </w:r>
      <w:r>
        <w:rPr>
          <w:szCs w:val="24"/>
        </w:rPr>
        <w:t xml:space="preserve"> поведенческих </w:t>
      </w:r>
      <w:r w:rsidR="00F272DE">
        <w:rPr>
          <w:szCs w:val="24"/>
        </w:rPr>
        <w:t>предписаний.</w:t>
      </w:r>
      <w:bookmarkStart w:id="1" w:name="_Toc389443825"/>
    </w:p>
    <w:p w:rsidR="00885AC1" w:rsidRDefault="00885AC1" w:rsidP="00223B8E">
      <w:pPr>
        <w:pStyle w:val="a3"/>
        <w:spacing w:before="120"/>
        <w:ind w:firstLine="709"/>
      </w:pPr>
      <w:r w:rsidRPr="00223B8E">
        <w:rPr>
          <w:b/>
        </w:rPr>
        <w:t>Заключение</w:t>
      </w:r>
      <w:bookmarkEnd w:id="1"/>
    </w:p>
    <w:p w:rsidR="007A4666" w:rsidRDefault="00412C65" w:rsidP="007A4666">
      <w:pPr>
        <w:pStyle w:val="a3"/>
      </w:pPr>
      <w:r>
        <w:t>Оценка качества деятельности ФАС заключается в в</w:t>
      </w:r>
      <w:r w:rsidR="00A35768">
        <w:t>ыявлени</w:t>
      </w:r>
      <w:r>
        <w:t>и</w:t>
      </w:r>
      <w:r w:rsidR="00A35768">
        <w:t xml:space="preserve"> экономической логики</w:t>
      </w:r>
      <w:r>
        <w:t xml:space="preserve"> принятия решений ФАС и ее соответствия </w:t>
      </w:r>
      <w:r>
        <w:lastRenderedPageBreak/>
        <w:t>экономической теории.</w:t>
      </w:r>
      <w:r w:rsidR="007A4666">
        <w:t xml:space="preserve"> На практике это отразилось в изучении факторов, которые являются значимыми при выборе вида предписаний.</w:t>
      </w:r>
    </w:p>
    <w:p w:rsidR="00DD34E4" w:rsidRDefault="007A4666" w:rsidP="00781B1D">
      <w:pPr>
        <w:pStyle w:val="a3"/>
      </w:pPr>
      <w:r>
        <w:t xml:space="preserve"> </w:t>
      </w:r>
      <w:r w:rsidR="00BD7714">
        <w:t xml:space="preserve">Результаты исследования схожи с </w:t>
      </w:r>
      <w:r w:rsidR="00781B1D">
        <w:t>выводами</w:t>
      </w:r>
      <w:r w:rsidR="00BD7714">
        <w:t xml:space="preserve"> зарубежных авторов</w:t>
      </w:r>
      <w:r w:rsidR="00781B1D" w:rsidRPr="00781B1D">
        <w:t xml:space="preserve"> </w:t>
      </w:r>
      <w:r w:rsidR="00781B1D">
        <w:t>о влиянии крупной рыночной доли, горизонтального характера сделки и отраслевой принадлежности фирм (</w:t>
      </w:r>
      <w:proofErr w:type="spellStart"/>
      <w:r w:rsidR="00781B1D">
        <w:t>Bougette</w:t>
      </w:r>
      <w:proofErr w:type="spellEnd"/>
      <w:r w:rsidR="00781B1D">
        <w:t xml:space="preserve"> P., 2008</w:t>
      </w:r>
      <w:r w:rsidR="00781B1D" w:rsidRPr="00CB06D9">
        <w:rPr>
          <w:rFonts w:eastAsia="Calibri" w:cs="Times New Roman"/>
        </w:rPr>
        <w:t>)</w:t>
      </w:r>
      <w:r w:rsidR="00781B1D">
        <w:rPr>
          <w:rFonts w:eastAsia="Calibri" w:cs="Times New Roman"/>
        </w:rPr>
        <w:t>; о значимости вида слияния (</w:t>
      </w:r>
      <w:r w:rsidR="00781B1D" w:rsidRPr="00B00560">
        <w:rPr>
          <w:lang w:val="en-US"/>
        </w:rPr>
        <w:t>Bergman</w:t>
      </w:r>
      <w:r w:rsidR="00781B1D" w:rsidRPr="00B00560">
        <w:t xml:space="preserve"> </w:t>
      </w:r>
      <w:r w:rsidR="00781B1D" w:rsidRPr="00B00560">
        <w:rPr>
          <w:lang w:val="en-US"/>
        </w:rPr>
        <w:t>M</w:t>
      </w:r>
      <w:r w:rsidR="00781B1D">
        <w:t>.</w:t>
      </w:r>
      <w:r w:rsidR="00781B1D" w:rsidRPr="00B00560">
        <w:t>, 2005</w:t>
      </w:r>
      <w:r w:rsidR="00781B1D">
        <w:t xml:space="preserve">). </w:t>
      </w:r>
      <w:r w:rsidR="00574131">
        <w:t>Как показал анализ</w:t>
      </w:r>
      <w:r w:rsidR="00FE0CC1" w:rsidRPr="00574131">
        <w:t>, антимонопольный орган при выдвижении предписаний руково</w:t>
      </w:r>
      <w:r w:rsidR="00C0645A" w:rsidRPr="00574131">
        <w:t>дствуется экономической теорией.</w:t>
      </w:r>
    </w:p>
    <w:p w:rsidR="00E15B7D" w:rsidRPr="00E15B7D" w:rsidRDefault="00691485" w:rsidP="00E15B7D">
      <w:pPr>
        <w:pStyle w:val="a3"/>
      </w:pPr>
      <w:r>
        <w:t xml:space="preserve">Однако нельзя исключить возможность смещения полученных оценок, поскольку </w:t>
      </w:r>
      <w:r w:rsidR="006B5953">
        <w:t>на сайте ФАС опубликована лишь часть решений (таблица 1)</w:t>
      </w:r>
      <w:r>
        <w:t xml:space="preserve">. </w:t>
      </w:r>
      <w:r w:rsidR="00C03348" w:rsidRPr="00C03348">
        <w:t>Кроме того, за текстами решений ФАС может скрываться тщательно проведенный экономический анализ каждой сделки, к которому нет доступа. Изучение такого анализа помогло бы</w:t>
      </w:r>
      <w:r>
        <w:t xml:space="preserve"> понять логику принятия решений и выявить новые факторы.</w:t>
      </w:r>
    </w:p>
    <w:p w:rsidR="00223B8E" w:rsidRDefault="00223B8E" w:rsidP="0020027E">
      <w:pPr>
        <w:pStyle w:val="a3"/>
        <w:jc w:val="center"/>
        <w:rPr>
          <w:b/>
        </w:rPr>
      </w:pPr>
    </w:p>
    <w:p w:rsidR="0020027E" w:rsidRPr="00223B8E" w:rsidRDefault="008A48BC" w:rsidP="0020027E">
      <w:pPr>
        <w:pStyle w:val="a3"/>
        <w:jc w:val="center"/>
        <w:rPr>
          <w:b/>
          <w:sz w:val="24"/>
        </w:rPr>
      </w:pPr>
      <w:r w:rsidRPr="00223B8E">
        <w:rPr>
          <w:b/>
        </w:rPr>
        <w:t>СПИСОК ИСТОЧНИКОВ</w:t>
      </w:r>
    </w:p>
    <w:p w:rsidR="00B00560" w:rsidRPr="00223B8E" w:rsidRDefault="00B00560" w:rsidP="00223B8E">
      <w:pPr>
        <w:pStyle w:val="Default"/>
        <w:spacing w:line="360" w:lineRule="auto"/>
        <w:ind w:firstLine="709"/>
        <w:jc w:val="both"/>
        <w:rPr>
          <w:szCs w:val="28"/>
          <w:lang w:val="en-US"/>
        </w:rPr>
      </w:pPr>
      <w:proofErr w:type="spellStart"/>
      <w:proofErr w:type="gramStart"/>
      <w:r w:rsidRPr="008A48BC">
        <w:rPr>
          <w:i/>
          <w:szCs w:val="28"/>
          <w:lang w:val="en-US"/>
        </w:rPr>
        <w:t>Balto</w:t>
      </w:r>
      <w:proofErr w:type="spellEnd"/>
      <w:r w:rsidR="008A48BC" w:rsidRPr="00223B8E">
        <w:rPr>
          <w:i/>
          <w:szCs w:val="28"/>
          <w:lang w:val="en-US"/>
        </w:rPr>
        <w:t xml:space="preserve"> </w:t>
      </w:r>
      <w:r w:rsidR="008A48BC" w:rsidRPr="008A48BC">
        <w:rPr>
          <w:i/>
          <w:szCs w:val="28"/>
          <w:lang w:val="en-US"/>
        </w:rPr>
        <w:t>D</w:t>
      </w:r>
      <w:r w:rsidR="008A48BC" w:rsidRPr="00223B8E">
        <w:rPr>
          <w:i/>
          <w:szCs w:val="28"/>
          <w:lang w:val="en-US"/>
        </w:rPr>
        <w:t xml:space="preserve">. </w:t>
      </w:r>
      <w:r w:rsidR="008A48BC" w:rsidRPr="008A48BC">
        <w:rPr>
          <w:i/>
          <w:szCs w:val="28"/>
          <w:lang w:val="en-US"/>
        </w:rPr>
        <w:t>A</w:t>
      </w:r>
      <w:r w:rsidR="008A48BC" w:rsidRPr="00223B8E">
        <w:rPr>
          <w:i/>
          <w:szCs w:val="28"/>
          <w:lang w:val="en-US"/>
        </w:rPr>
        <w:t xml:space="preserve">. </w:t>
      </w:r>
      <w:r w:rsidR="008A48BC" w:rsidRPr="008A48BC">
        <w:rPr>
          <w:i/>
          <w:szCs w:val="28"/>
          <w:lang w:val="en-US"/>
        </w:rPr>
        <w:t>et</w:t>
      </w:r>
      <w:r w:rsidR="008A48BC" w:rsidRPr="00223B8E">
        <w:rPr>
          <w:i/>
          <w:szCs w:val="28"/>
          <w:lang w:val="en-US"/>
        </w:rPr>
        <w:t xml:space="preserve"> </w:t>
      </w:r>
      <w:r w:rsidR="008A48BC" w:rsidRPr="008A48BC">
        <w:rPr>
          <w:i/>
          <w:szCs w:val="28"/>
          <w:lang w:val="en-US"/>
        </w:rPr>
        <w:t>al</w:t>
      </w:r>
      <w:r w:rsidR="008A48BC" w:rsidRPr="00223B8E">
        <w:rPr>
          <w:i/>
          <w:szCs w:val="28"/>
          <w:lang w:val="en-US"/>
        </w:rPr>
        <w:t>.</w:t>
      </w:r>
      <w:proofErr w:type="gramEnd"/>
      <w:r w:rsidR="008A48BC" w:rsidRPr="00223B8E">
        <w:rPr>
          <w:szCs w:val="28"/>
          <w:lang w:val="en-US"/>
        </w:rPr>
        <w:t xml:space="preserve"> </w:t>
      </w:r>
      <w:proofErr w:type="gramStart"/>
      <w:r w:rsidRPr="009C604B">
        <w:rPr>
          <w:szCs w:val="28"/>
          <w:lang w:val="en-US"/>
        </w:rPr>
        <w:t>The evolvin</w:t>
      </w:r>
      <w:r w:rsidR="008A48BC">
        <w:rPr>
          <w:szCs w:val="28"/>
          <w:lang w:val="en-US"/>
        </w:rPr>
        <w:t>g approach to merger remedies».</w:t>
      </w:r>
      <w:proofErr w:type="gramEnd"/>
      <w:r w:rsidR="008A48BC">
        <w:rPr>
          <w:szCs w:val="28"/>
          <w:lang w:val="en-US"/>
        </w:rPr>
        <w:t xml:space="preserve"> </w:t>
      </w:r>
      <w:proofErr w:type="gramStart"/>
      <w:r w:rsidR="005649E4">
        <w:rPr>
          <w:szCs w:val="28"/>
          <w:lang w:val="en-US"/>
        </w:rPr>
        <w:t>Federal Trade Commission.</w:t>
      </w:r>
      <w:proofErr w:type="gramEnd"/>
      <w:r w:rsidR="005649E4">
        <w:rPr>
          <w:szCs w:val="28"/>
          <w:lang w:val="en-US"/>
        </w:rPr>
        <w:t xml:space="preserve"> </w:t>
      </w:r>
      <w:r w:rsidR="005649E4" w:rsidRPr="009C604B">
        <w:rPr>
          <w:szCs w:val="28"/>
          <w:lang w:val="en-US"/>
        </w:rPr>
        <w:t>2000</w:t>
      </w:r>
      <w:r w:rsidR="005649E4">
        <w:rPr>
          <w:szCs w:val="28"/>
          <w:lang w:val="en-US"/>
        </w:rPr>
        <w:t xml:space="preserve">. </w:t>
      </w:r>
      <w:r w:rsidR="005649E4" w:rsidRPr="00223B8E">
        <w:rPr>
          <w:szCs w:val="28"/>
          <w:lang w:val="en-US"/>
        </w:rPr>
        <w:t>[</w:t>
      </w:r>
      <w:r w:rsidR="005649E4" w:rsidRPr="005649E4">
        <w:rPr>
          <w:szCs w:val="28"/>
        </w:rPr>
        <w:t>Электронный</w:t>
      </w:r>
      <w:r w:rsidR="005649E4" w:rsidRPr="00223B8E">
        <w:rPr>
          <w:szCs w:val="28"/>
          <w:lang w:val="en-US"/>
        </w:rPr>
        <w:t xml:space="preserve"> </w:t>
      </w:r>
      <w:r w:rsidR="005649E4" w:rsidRPr="005649E4">
        <w:rPr>
          <w:szCs w:val="28"/>
        </w:rPr>
        <w:t>ресурс</w:t>
      </w:r>
      <w:r w:rsidR="005649E4" w:rsidRPr="00223B8E">
        <w:rPr>
          <w:szCs w:val="28"/>
          <w:lang w:val="en-US"/>
        </w:rPr>
        <w:t xml:space="preserve">]. </w:t>
      </w:r>
      <w:r w:rsidR="005649E4">
        <w:rPr>
          <w:szCs w:val="28"/>
          <w:lang w:val="en-US"/>
        </w:rPr>
        <w:t>URL</w:t>
      </w:r>
      <w:r w:rsidR="005649E4" w:rsidRPr="00223B8E">
        <w:rPr>
          <w:szCs w:val="28"/>
          <w:lang w:val="en-US"/>
        </w:rPr>
        <w:t>:</w:t>
      </w:r>
      <w:r w:rsidR="005649E4">
        <w:rPr>
          <w:szCs w:val="28"/>
          <w:lang w:val="en-US"/>
        </w:rPr>
        <w:t xml:space="preserve"> </w:t>
      </w:r>
      <w:r w:rsidRPr="009C604B">
        <w:rPr>
          <w:szCs w:val="28"/>
          <w:lang w:val="en-US"/>
        </w:rPr>
        <w:t>www</w:t>
      </w:r>
      <w:r w:rsidRPr="00223B8E">
        <w:rPr>
          <w:szCs w:val="28"/>
          <w:lang w:val="en-US"/>
        </w:rPr>
        <w:t>.</w:t>
      </w:r>
      <w:r w:rsidRPr="009C604B">
        <w:rPr>
          <w:szCs w:val="28"/>
          <w:lang w:val="en-US"/>
        </w:rPr>
        <w:t>ftc</w:t>
      </w:r>
      <w:r w:rsidRPr="00223B8E">
        <w:rPr>
          <w:szCs w:val="28"/>
          <w:lang w:val="en-US"/>
        </w:rPr>
        <w:t>.</w:t>
      </w:r>
      <w:r w:rsidRPr="009C604B">
        <w:rPr>
          <w:szCs w:val="28"/>
          <w:lang w:val="en-US"/>
        </w:rPr>
        <w:t>gov</w:t>
      </w:r>
      <w:r w:rsidRPr="00223B8E">
        <w:rPr>
          <w:szCs w:val="28"/>
          <w:lang w:val="en-US"/>
        </w:rPr>
        <w:t>/</w:t>
      </w:r>
      <w:r w:rsidRPr="009C604B">
        <w:rPr>
          <w:szCs w:val="28"/>
          <w:lang w:val="en-US"/>
        </w:rPr>
        <w:t>public</w:t>
      </w:r>
      <w:r w:rsidRPr="00223B8E">
        <w:rPr>
          <w:szCs w:val="28"/>
          <w:lang w:val="en-US"/>
        </w:rPr>
        <w:t>-</w:t>
      </w:r>
      <w:r w:rsidRPr="009C604B">
        <w:rPr>
          <w:szCs w:val="28"/>
          <w:lang w:val="en-US"/>
        </w:rPr>
        <w:t>statements</w:t>
      </w:r>
      <w:r w:rsidRPr="00223B8E">
        <w:rPr>
          <w:szCs w:val="28"/>
          <w:lang w:val="en-US"/>
        </w:rPr>
        <w:t>/2000/05/</w:t>
      </w:r>
      <w:r w:rsidRPr="009C604B">
        <w:rPr>
          <w:szCs w:val="28"/>
          <w:lang w:val="en-US"/>
        </w:rPr>
        <w:t>evolving</w:t>
      </w:r>
      <w:r w:rsidRPr="00223B8E">
        <w:rPr>
          <w:szCs w:val="28"/>
          <w:lang w:val="en-US"/>
        </w:rPr>
        <w:t>-</w:t>
      </w:r>
      <w:r w:rsidRPr="009C604B">
        <w:rPr>
          <w:szCs w:val="28"/>
          <w:lang w:val="en-US"/>
        </w:rPr>
        <w:t>approach</w:t>
      </w:r>
      <w:r w:rsidRPr="00223B8E">
        <w:rPr>
          <w:szCs w:val="28"/>
          <w:lang w:val="en-US"/>
        </w:rPr>
        <w:t>-</w:t>
      </w:r>
      <w:r w:rsidRPr="009C604B">
        <w:rPr>
          <w:szCs w:val="28"/>
          <w:lang w:val="en-US"/>
        </w:rPr>
        <w:t>merger</w:t>
      </w:r>
      <w:r w:rsidRPr="00223B8E">
        <w:rPr>
          <w:szCs w:val="28"/>
          <w:lang w:val="en-US"/>
        </w:rPr>
        <w:t>-</w:t>
      </w:r>
      <w:r w:rsidRPr="009C604B">
        <w:rPr>
          <w:szCs w:val="28"/>
          <w:lang w:val="en-US"/>
        </w:rPr>
        <w:t>remedies</w:t>
      </w:r>
    </w:p>
    <w:p w:rsidR="00B00560" w:rsidRPr="009C604B" w:rsidRDefault="008A3D59" w:rsidP="00223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color w:val="222222"/>
          <w:sz w:val="24"/>
          <w:szCs w:val="28"/>
          <w:shd w:val="clear" w:color="auto" w:fill="FFFFFF"/>
          <w:lang w:val="en-US"/>
        </w:rPr>
        <w:t xml:space="preserve">Bergman, M. A. </w:t>
      </w:r>
      <w:r w:rsidRPr="008A3D59">
        <w:rPr>
          <w:rFonts w:ascii="Times New Roman" w:hAnsi="Times New Roman" w:cs="Times New Roman"/>
          <w:i/>
          <w:color w:val="222222"/>
          <w:sz w:val="24"/>
          <w:szCs w:val="28"/>
          <w:shd w:val="clear" w:color="auto" w:fill="FFFFFF"/>
          <w:lang w:val="en-US"/>
        </w:rPr>
        <w:t>et al.</w:t>
      </w: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 xml:space="preserve"> </w:t>
      </w:r>
      <w:r w:rsidR="00B00560" w:rsidRPr="009C604B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>An econometric analysis of the Europea</w:t>
      </w: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 xml:space="preserve">n Commission's merger decisions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 xml:space="preserve">// </w:t>
      </w:r>
      <w:r w:rsidR="00B00560" w:rsidRPr="008A3D59">
        <w:rPr>
          <w:rFonts w:ascii="Times New Roman" w:hAnsi="Times New Roman" w:cs="Times New Roman"/>
          <w:iCs/>
          <w:color w:val="222222"/>
          <w:sz w:val="24"/>
          <w:szCs w:val="28"/>
          <w:shd w:val="clear" w:color="auto" w:fill="FFFFFF"/>
          <w:lang w:val="en-US"/>
        </w:rPr>
        <w:t>International Journal of Industrial Organization</w:t>
      </w: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>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 xml:space="preserve"> </w:t>
      </w:r>
      <w:r w:rsidRPr="009C604B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>2005</w:t>
      </w: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 xml:space="preserve">. </w:t>
      </w:r>
      <w:r w:rsidR="00B00560" w:rsidRPr="009C604B">
        <w:rPr>
          <w:rStyle w:val="apple-converted-space"/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 xml:space="preserve">Vol. </w:t>
      </w:r>
      <w:r w:rsidR="00B00560" w:rsidRPr="009C604B">
        <w:rPr>
          <w:rFonts w:ascii="Times New Roman" w:hAnsi="Times New Roman" w:cs="Times New Roman"/>
          <w:iCs/>
          <w:color w:val="222222"/>
          <w:sz w:val="24"/>
          <w:szCs w:val="28"/>
          <w:shd w:val="clear" w:color="auto" w:fill="FFFFFF"/>
          <w:lang w:val="en-US"/>
        </w:rPr>
        <w:t>23</w:t>
      </w:r>
      <w:r w:rsidR="00B00560" w:rsidRPr="009C604B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>(9)</w:t>
      </w:r>
      <w:r w:rsidR="006C07A6" w:rsidRPr="009C604B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>.</w:t>
      </w:r>
    </w:p>
    <w:p w:rsidR="00B00560" w:rsidRPr="009C604B" w:rsidRDefault="00B00560" w:rsidP="00223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A3D59">
        <w:rPr>
          <w:rFonts w:ascii="Times New Roman" w:hAnsi="Times New Roman" w:cs="Times New Roman"/>
          <w:i/>
          <w:color w:val="222222"/>
          <w:sz w:val="24"/>
          <w:szCs w:val="28"/>
          <w:shd w:val="clear" w:color="auto" w:fill="FFFFFF"/>
          <w:lang w:val="en-US"/>
        </w:rPr>
        <w:t>Bougette</w:t>
      </w:r>
      <w:proofErr w:type="spellEnd"/>
      <w:r w:rsidRPr="008A3D59">
        <w:rPr>
          <w:rFonts w:ascii="Times New Roman" w:hAnsi="Times New Roman" w:cs="Times New Roman"/>
          <w:i/>
          <w:color w:val="222222"/>
          <w:sz w:val="24"/>
          <w:szCs w:val="28"/>
          <w:shd w:val="clear" w:color="auto" w:fill="FFFFFF"/>
          <w:lang w:val="en-US"/>
        </w:rPr>
        <w:t>, P.</w:t>
      </w:r>
      <w:r w:rsidR="008A3D59" w:rsidRPr="008A3D59">
        <w:rPr>
          <w:rFonts w:ascii="Times New Roman" w:hAnsi="Times New Roman" w:cs="Times New Roman"/>
          <w:i/>
          <w:color w:val="222222"/>
          <w:sz w:val="24"/>
          <w:szCs w:val="28"/>
          <w:shd w:val="clear" w:color="auto" w:fill="FFFFFF"/>
          <w:lang w:val="en-US"/>
        </w:rPr>
        <w:t xml:space="preserve"> et al.</w:t>
      </w:r>
      <w:r w:rsidR="008A3D5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 xml:space="preserve"> </w:t>
      </w:r>
      <w:r w:rsidRPr="009C604B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>Market structures, political surroundings, and merger remedies: an empirical investigation of the EC’s decisions</w:t>
      </w:r>
      <w:r w:rsidR="008A3D5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 xml:space="preserve"> // </w:t>
      </w:r>
      <w:r w:rsidRPr="008A3D59">
        <w:rPr>
          <w:rFonts w:ascii="Times New Roman" w:hAnsi="Times New Roman" w:cs="Times New Roman"/>
          <w:iCs/>
          <w:color w:val="222222"/>
          <w:sz w:val="24"/>
          <w:szCs w:val="28"/>
          <w:shd w:val="clear" w:color="auto" w:fill="FFFFFF"/>
          <w:lang w:val="en-US"/>
        </w:rPr>
        <w:t>European Journal of Law and Economics</w:t>
      </w:r>
      <w:r w:rsidR="008A3D59" w:rsidRPr="008A3D59">
        <w:rPr>
          <w:rFonts w:ascii="Times New Roman" w:hAnsi="Times New Roman" w:cs="Times New Roman"/>
          <w:iCs/>
          <w:color w:val="222222"/>
          <w:sz w:val="24"/>
          <w:szCs w:val="28"/>
          <w:shd w:val="clear" w:color="auto" w:fill="FFFFFF"/>
          <w:lang w:val="en-US"/>
        </w:rPr>
        <w:t>.</w:t>
      </w:r>
      <w:r w:rsidRPr="009C604B">
        <w:rPr>
          <w:rStyle w:val="apple-converted-space"/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> </w:t>
      </w:r>
      <w:r w:rsidR="008A3D59" w:rsidRPr="009C604B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>2008</w:t>
      </w:r>
      <w:r w:rsidR="008A3D5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 xml:space="preserve">. </w:t>
      </w:r>
      <w:r w:rsidRPr="009C604B">
        <w:rPr>
          <w:rStyle w:val="apple-converted-space"/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 xml:space="preserve">Vol. </w:t>
      </w:r>
      <w:r w:rsidRPr="009C604B">
        <w:rPr>
          <w:rFonts w:ascii="Times New Roman" w:hAnsi="Times New Roman" w:cs="Times New Roman"/>
          <w:iCs/>
          <w:color w:val="222222"/>
          <w:sz w:val="24"/>
          <w:szCs w:val="28"/>
          <w:shd w:val="clear" w:color="auto" w:fill="FFFFFF"/>
          <w:lang w:val="en-US"/>
        </w:rPr>
        <w:t>25</w:t>
      </w:r>
      <w:r w:rsidRPr="009C604B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>(2)</w:t>
      </w:r>
      <w:r w:rsidR="008A3D5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 xml:space="preserve">, </w:t>
      </w:r>
      <w:r w:rsidR="00FA42BF" w:rsidRPr="009C604B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>125-150</w:t>
      </w:r>
      <w:r w:rsidR="008A3D5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 xml:space="preserve"> c</w:t>
      </w:r>
      <w:r w:rsidR="00FA42BF" w:rsidRPr="009C604B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en-US"/>
        </w:rPr>
        <w:t>.</w:t>
      </w:r>
    </w:p>
    <w:p w:rsidR="006C07A6" w:rsidRPr="009C604B" w:rsidRDefault="006C07A6" w:rsidP="00223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A3D59">
        <w:rPr>
          <w:rFonts w:ascii="Times New Roman" w:hAnsi="Times New Roman" w:cs="Times New Roman"/>
          <w:i/>
          <w:sz w:val="24"/>
          <w:szCs w:val="28"/>
          <w:lang w:val="en-US"/>
        </w:rPr>
        <w:t>Duso</w:t>
      </w:r>
      <w:proofErr w:type="spellEnd"/>
      <w:r w:rsidRPr="008A3D59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8A3D59">
        <w:rPr>
          <w:rFonts w:ascii="Times New Roman" w:hAnsi="Times New Roman" w:cs="Times New Roman"/>
          <w:i/>
          <w:sz w:val="24"/>
          <w:szCs w:val="28"/>
        </w:rPr>
        <w:t>Т</w:t>
      </w:r>
      <w:r w:rsidR="008A3D59" w:rsidRPr="008A3D59">
        <w:rPr>
          <w:rFonts w:ascii="Times New Roman" w:hAnsi="Times New Roman" w:cs="Times New Roman"/>
          <w:i/>
          <w:sz w:val="24"/>
          <w:szCs w:val="28"/>
          <w:lang w:val="en-US"/>
        </w:rPr>
        <w:t>.</w:t>
      </w:r>
      <w:r w:rsidR="008A3D59" w:rsidRPr="008A3D59">
        <w:rPr>
          <w:i/>
          <w:lang w:val="en-US"/>
        </w:rPr>
        <w:t xml:space="preserve"> </w:t>
      </w:r>
      <w:r w:rsidR="008A3D59" w:rsidRPr="008A3D59">
        <w:rPr>
          <w:rFonts w:ascii="Times New Roman" w:hAnsi="Times New Roman" w:cs="Times New Roman"/>
          <w:i/>
          <w:sz w:val="24"/>
          <w:szCs w:val="28"/>
          <w:lang w:val="en-US"/>
        </w:rPr>
        <w:t>et al.</w:t>
      </w:r>
      <w:r w:rsidR="008A3D5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9C604B">
        <w:rPr>
          <w:rFonts w:ascii="Times New Roman" w:hAnsi="Times New Roman" w:cs="Times New Roman"/>
          <w:sz w:val="24"/>
          <w:szCs w:val="28"/>
          <w:lang w:val="en-US"/>
        </w:rPr>
        <w:t>EU Merger Remedies: An Empirical Assessment</w:t>
      </w:r>
      <w:r w:rsidR="008A3D59">
        <w:rPr>
          <w:rFonts w:ascii="Times New Roman" w:hAnsi="Times New Roman" w:cs="Times New Roman"/>
          <w:sz w:val="24"/>
          <w:szCs w:val="28"/>
          <w:lang w:val="en-US"/>
        </w:rPr>
        <w:t xml:space="preserve"> // </w:t>
      </w:r>
      <w:r w:rsidRPr="008A3D59">
        <w:rPr>
          <w:rFonts w:ascii="Times New Roman" w:hAnsi="Times New Roman" w:cs="Times New Roman"/>
          <w:sz w:val="24"/>
          <w:szCs w:val="28"/>
          <w:lang w:val="en-US"/>
        </w:rPr>
        <w:t>Contributions to Economic Analysis</w:t>
      </w:r>
      <w:r w:rsidR="008A3D5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FA42BF" w:rsidRPr="009C604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8A3D59" w:rsidRPr="009C604B">
        <w:rPr>
          <w:rFonts w:ascii="Times New Roman" w:hAnsi="Times New Roman" w:cs="Times New Roman"/>
          <w:sz w:val="24"/>
          <w:szCs w:val="28"/>
          <w:lang w:val="en-US"/>
        </w:rPr>
        <w:t>2005</w:t>
      </w:r>
      <w:r w:rsidR="008A3D5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="00FA42BF" w:rsidRPr="009C604B">
        <w:rPr>
          <w:rFonts w:ascii="Times New Roman" w:hAnsi="Times New Roman" w:cs="Times New Roman"/>
          <w:sz w:val="24"/>
          <w:szCs w:val="28"/>
          <w:lang w:val="en-US"/>
        </w:rPr>
        <w:t>303-348</w:t>
      </w:r>
      <w:r w:rsidR="008A3D59">
        <w:rPr>
          <w:rFonts w:ascii="Times New Roman" w:hAnsi="Times New Roman" w:cs="Times New Roman"/>
          <w:sz w:val="24"/>
          <w:szCs w:val="28"/>
          <w:lang w:val="en-US"/>
        </w:rPr>
        <w:t xml:space="preserve"> c</w:t>
      </w:r>
      <w:r w:rsidR="00FA42BF" w:rsidRPr="009C604B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990198" w:rsidRPr="009C604B" w:rsidRDefault="00990198" w:rsidP="00223B8E">
      <w:pPr>
        <w:pStyle w:val="ac"/>
        <w:ind w:firstLine="709"/>
        <w:rPr>
          <w:sz w:val="24"/>
          <w:lang w:val="en-US"/>
        </w:rPr>
      </w:pPr>
      <w:proofErr w:type="gramStart"/>
      <w:r w:rsidRPr="008A3D59">
        <w:rPr>
          <w:i/>
          <w:sz w:val="24"/>
          <w:lang w:val="en-US"/>
        </w:rPr>
        <w:t xml:space="preserve">Long W.F. </w:t>
      </w:r>
      <w:r w:rsidR="008A3D59" w:rsidRPr="008A3D59">
        <w:rPr>
          <w:i/>
          <w:sz w:val="24"/>
          <w:lang w:val="en-US"/>
        </w:rPr>
        <w:t>et al.</w:t>
      </w:r>
      <w:proofErr w:type="gramEnd"/>
      <w:r w:rsidR="008A3D59">
        <w:rPr>
          <w:sz w:val="24"/>
          <w:lang w:val="en-US"/>
        </w:rPr>
        <w:t xml:space="preserve"> </w:t>
      </w:r>
      <w:r w:rsidRPr="009C604B">
        <w:rPr>
          <w:sz w:val="24"/>
          <w:lang w:val="en-US"/>
        </w:rPr>
        <w:t>The Economic Deter</w:t>
      </w:r>
      <w:r w:rsidR="008A3D59">
        <w:rPr>
          <w:sz w:val="24"/>
          <w:lang w:val="en-US"/>
        </w:rPr>
        <w:t>minants of Antitrust Activity // Journal Law &amp; Economics.</w:t>
      </w:r>
      <w:r w:rsidRPr="009C604B">
        <w:rPr>
          <w:sz w:val="24"/>
          <w:lang w:val="en-US"/>
        </w:rPr>
        <w:t xml:space="preserve"> </w:t>
      </w:r>
      <w:r w:rsidR="008A3D59" w:rsidRPr="009C604B">
        <w:rPr>
          <w:sz w:val="24"/>
          <w:lang w:val="en-US"/>
        </w:rPr>
        <w:t>1973</w:t>
      </w:r>
      <w:r w:rsidR="008A3D59">
        <w:rPr>
          <w:sz w:val="24"/>
          <w:lang w:val="en-US"/>
        </w:rPr>
        <w:t xml:space="preserve">. </w:t>
      </w:r>
      <w:r w:rsidRPr="009C604B">
        <w:rPr>
          <w:sz w:val="24"/>
          <w:lang w:val="en-US"/>
        </w:rPr>
        <w:t>Vol. 351.</w:t>
      </w:r>
    </w:p>
    <w:p w:rsidR="009E72AC" w:rsidRPr="009C604B" w:rsidRDefault="008A3D59" w:rsidP="00223B8E">
      <w:pPr>
        <w:pStyle w:val="a3"/>
        <w:tabs>
          <w:tab w:val="left" w:pos="426"/>
        </w:tabs>
        <w:ind w:firstLine="709"/>
        <w:contextualSpacing/>
        <w:rPr>
          <w:rFonts w:cs="Times New Roman"/>
          <w:sz w:val="24"/>
          <w:szCs w:val="28"/>
          <w:lang w:val="en-US"/>
        </w:rPr>
      </w:pPr>
      <w:r>
        <w:rPr>
          <w:rFonts w:cs="Times New Roman"/>
          <w:i/>
          <w:color w:val="222222"/>
          <w:sz w:val="24"/>
          <w:szCs w:val="28"/>
          <w:shd w:val="clear" w:color="auto" w:fill="FFFFFF"/>
          <w:lang w:val="en-US"/>
        </w:rPr>
        <w:t>Motta</w:t>
      </w:r>
      <w:r w:rsidR="009E72AC" w:rsidRPr="008A3D59">
        <w:rPr>
          <w:rFonts w:cs="Times New Roman"/>
          <w:i/>
          <w:color w:val="222222"/>
          <w:sz w:val="24"/>
          <w:szCs w:val="28"/>
          <w:shd w:val="clear" w:color="auto" w:fill="FFFFFF"/>
          <w:lang w:val="en-US"/>
        </w:rPr>
        <w:t xml:space="preserve"> M.</w:t>
      </w:r>
      <w:r>
        <w:rPr>
          <w:rFonts w:cs="Times New Roman"/>
          <w:color w:val="222222"/>
          <w:sz w:val="24"/>
          <w:szCs w:val="28"/>
          <w:shd w:val="clear" w:color="auto" w:fill="FFFFFF"/>
          <w:lang w:val="en-US"/>
        </w:rPr>
        <w:t xml:space="preserve"> </w:t>
      </w:r>
      <w:r w:rsidR="009E72AC" w:rsidRPr="008A3D59">
        <w:rPr>
          <w:rFonts w:cs="Times New Roman"/>
          <w:iCs/>
          <w:color w:val="222222"/>
          <w:sz w:val="24"/>
          <w:szCs w:val="28"/>
          <w:shd w:val="clear" w:color="auto" w:fill="FFFFFF"/>
          <w:lang w:val="en-US"/>
        </w:rPr>
        <w:t>Competition policy: theory and practice</w:t>
      </w:r>
      <w:r w:rsidR="006919AE">
        <w:rPr>
          <w:rFonts w:cs="Times New Roman"/>
          <w:i/>
          <w:color w:val="222222"/>
          <w:sz w:val="24"/>
          <w:szCs w:val="28"/>
          <w:shd w:val="clear" w:color="auto" w:fill="FFFFFF"/>
          <w:lang w:val="en-US"/>
        </w:rPr>
        <w:t xml:space="preserve">. </w:t>
      </w:r>
      <w:r w:rsidR="009E72AC" w:rsidRPr="009C604B">
        <w:rPr>
          <w:rFonts w:cs="Times New Roman"/>
          <w:color w:val="222222"/>
          <w:sz w:val="24"/>
          <w:szCs w:val="28"/>
          <w:shd w:val="clear" w:color="auto" w:fill="FFFFFF"/>
          <w:lang w:val="en-US"/>
        </w:rPr>
        <w:t>Cambridge University Press,</w:t>
      </w:r>
      <w:r>
        <w:rPr>
          <w:rFonts w:cs="Times New Roman"/>
          <w:color w:val="222222"/>
          <w:sz w:val="24"/>
          <w:szCs w:val="28"/>
          <w:shd w:val="clear" w:color="auto" w:fill="FFFFFF"/>
          <w:lang w:val="en-US"/>
        </w:rPr>
        <w:t xml:space="preserve"> Cambridge. </w:t>
      </w:r>
      <w:r w:rsidRPr="009C604B">
        <w:rPr>
          <w:rFonts w:cs="Times New Roman"/>
          <w:color w:val="222222"/>
          <w:sz w:val="24"/>
          <w:szCs w:val="28"/>
          <w:shd w:val="clear" w:color="auto" w:fill="FFFFFF"/>
          <w:lang w:val="en-US"/>
        </w:rPr>
        <w:t>2004</w:t>
      </w:r>
    </w:p>
    <w:p w:rsidR="006C16E2" w:rsidRPr="009C604B" w:rsidRDefault="006919AE" w:rsidP="00223B8E">
      <w:pPr>
        <w:pStyle w:val="a3"/>
        <w:tabs>
          <w:tab w:val="left" w:pos="426"/>
        </w:tabs>
        <w:ind w:firstLine="709"/>
        <w:contextualSpacing/>
        <w:rPr>
          <w:sz w:val="24"/>
          <w:szCs w:val="28"/>
          <w:lang w:val="en-US"/>
        </w:rPr>
      </w:pPr>
      <w:r w:rsidRPr="006919AE">
        <w:rPr>
          <w:i/>
          <w:sz w:val="24"/>
          <w:szCs w:val="28"/>
          <w:lang w:val="en-US"/>
        </w:rPr>
        <w:t>Motta M.</w:t>
      </w:r>
      <w:r>
        <w:rPr>
          <w:sz w:val="24"/>
          <w:szCs w:val="28"/>
          <w:lang w:val="en-US"/>
        </w:rPr>
        <w:t xml:space="preserve"> </w:t>
      </w:r>
      <w:r w:rsidR="00B00560" w:rsidRPr="009C604B">
        <w:rPr>
          <w:sz w:val="24"/>
          <w:szCs w:val="28"/>
          <w:lang w:val="en-US"/>
        </w:rPr>
        <w:t>Merger remedies in the European Union: an overview</w:t>
      </w:r>
      <w:r>
        <w:rPr>
          <w:sz w:val="24"/>
          <w:szCs w:val="28"/>
          <w:lang w:val="en-US"/>
        </w:rPr>
        <w:t xml:space="preserve"> // </w:t>
      </w:r>
      <w:r w:rsidR="00B00560" w:rsidRPr="006919AE">
        <w:rPr>
          <w:sz w:val="24"/>
          <w:szCs w:val="28"/>
          <w:lang w:val="en-US"/>
        </w:rPr>
        <w:t>Antitrust Bull</w:t>
      </w:r>
      <w:r w:rsidRPr="006919AE">
        <w:rPr>
          <w:sz w:val="24"/>
          <w:szCs w:val="28"/>
          <w:lang w:val="en-US"/>
        </w:rPr>
        <w:t>.</w:t>
      </w:r>
      <w:r>
        <w:rPr>
          <w:sz w:val="24"/>
          <w:szCs w:val="28"/>
          <w:lang w:val="en-US"/>
        </w:rPr>
        <w:t xml:space="preserve"> </w:t>
      </w:r>
      <w:r w:rsidRPr="009C604B">
        <w:rPr>
          <w:sz w:val="24"/>
          <w:szCs w:val="28"/>
          <w:lang w:val="en-US"/>
        </w:rPr>
        <w:t>2007</w:t>
      </w:r>
      <w:r>
        <w:rPr>
          <w:sz w:val="24"/>
          <w:szCs w:val="28"/>
          <w:lang w:val="en-US"/>
        </w:rPr>
        <w:t xml:space="preserve">. </w:t>
      </w:r>
      <w:r w:rsidR="002F7BCC" w:rsidRPr="009C604B">
        <w:rPr>
          <w:sz w:val="24"/>
          <w:szCs w:val="28"/>
          <w:lang w:val="en-US"/>
        </w:rPr>
        <w:t>Vol. 52</w:t>
      </w:r>
      <w:r>
        <w:rPr>
          <w:sz w:val="24"/>
          <w:szCs w:val="28"/>
          <w:lang w:val="en-US"/>
        </w:rPr>
        <w:t>.</w:t>
      </w:r>
    </w:p>
    <w:sectPr w:rsidR="006C16E2" w:rsidRPr="009C604B" w:rsidSect="002A4B9D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A1" w:rsidRDefault="00EC11A1" w:rsidP="009A3A25">
      <w:pPr>
        <w:spacing w:after="0" w:line="240" w:lineRule="auto"/>
      </w:pPr>
      <w:r>
        <w:separator/>
      </w:r>
    </w:p>
  </w:endnote>
  <w:endnote w:type="continuationSeparator" w:id="0">
    <w:p w:rsidR="00EC11A1" w:rsidRDefault="00EC11A1" w:rsidP="009A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44" w:rsidRDefault="00FC56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A1" w:rsidRDefault="00EC11A1" w:rsidP="009A3A25">
      <w:pPr>
        <w:spacing w:after="0" w:line="240" w:lineRule="auto"/>
      </w:pPr>
      <w:r>
        <w:separator/>
      </w:r>
    </w:p>
  </w:footnote>
  <w:footnote w:type="continuationSeparator" w:id="0">
    <w:p w:rsidR="00EC11A1" w:rsidRDefault="00EC11A1" w:rsidP="009A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080"/>
    <w:multiLevelType w:val="hybridMultilevel"/>
    <w:tmpl w:val="412207C0"/>
    <w:lvl w:ilvl="0" w:tplc="183635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82435D"/>
    <w:multiLevelType w:val="hybridMultilevel"/>
    <w:tmpl w:val="0178A30E"/>
    <w:lvl w:ilvl="0" w:tplc="39D4D8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24592"/>
    <w:multiLevelType w:val="hybridMultilevel"/>
    <w:tmpl w:val="0F26A0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9D"/>
    <w:rsid w:val="00013EB3"/>
    <w:rsid w:val="00042929"/>
    <w:rsid w:val="00047DBD"/>
    <w:rsid w:val="000526FC"/>
    <w:rsid w:val="0005741D"/>
    <w:rsid w:val="00067681"/>
    <w:rsid w:val="000A2586"/>
    <w:rsid w:val="000A4EED"/>
    <w:rsid w:val="000B0653"/>
    <w:rsid w:val="000C5B3F"/>
    <w:rsid w:val="000F011D"/>
    <w:rsid w:val="000F32A9"/>
    <w:rsid w:val="00101F0D"/>
    <w:rsid w:val="00111133"/>
    <w:rsid w:val="001364D8"/>
    <w:rsid w:val="0016125D"/>
    <w:rsid w:val="001649E7"/>
    <w:rsid w:val="00164EA9"/>
    <w:rsid w:val="00167EC5"/>
    <w:rsid w:val="00171A08"/>
    <w:rsid w:val="00177610"/>
    <w:rsid w:val="00183E95"/>
    <w:rsid w:val="001B6B78"/>
    <w:rsid w:val="001C56B7"/>
    <w:rsid w:val="001C6340"/>
    <w:rsid w:val="001D53C9"/>
    <w:rsid w:val="001E458B"/>
    <w:rsid w:val="001E67CC"/>
    <w:rsid w:val="0020027E"/>
    <w:rsid w:val="00204A36"/>
    <w:rsid w:val="00216B37"/>
    <w:rsid w:val="00221C8A"/>
    <w:rsid w:val="00222FA7"/>
    <w:rsid w:val="00223B8E"/>
    <w:rsid w:val="00227D07"/>
    <w:rsid w:val="00235CB7"/>
    <w:rsid w:val="00253EE8"/>
    <w:rsid w:val="00257FD7"/>
    <w:rsid w:val="002851B5"/>
    <w:rsid w:val="002866CD"/>
    <w:rsid w:val="00296723"/>
    <w:rsid w:val="002A4B9D"/>
    <w:rsid w:val="002B5AF5"/>
    <w:rsid w:val="002B7880"/>
    <w:rsid w:val="002F5462"/>
    <w:rsid w:val="002F7BCC"/>
    <w:rsid w:val="0030076E"/>
    <w:rsid w:val="00305143"/>
    <w:rsid w:val="00332E31"/>
    <w:rsid w:val="00355DB9"/>
    <w:rsid w:val="00363700"/>
    <w:rsid w:val="00364F3C"/>
    <w:rsid w:val="003662E5"/>
    <w:rsid w:val="003863BB"/>
    <w:rsid w:val="003B1E3C"/>
    <w:rsid w:val="003C3069"/>
    <w:rsid w:val="003C746F"/>
    <w:rsid w:val="003D1EA3"/>
    <w:rsid w:val="003D6869"/>
    <w:rsid w:val="003E4DDC"/>
    <w:rsid w:val="00404968"/>
    <w:rsid w:val="00412C65"/>
    <w:rsid w:val="00414E82"/>
    <w:rsid w:val="00417464"/>
    <w:rsid w:val="004224D5"/>
    <w:rsid w:val="004344FD"/>
    <w:rsid w:val="00441AEC"/>
    <w:rsid w:val="00445E50"/>
    <w:rsid w:val="00452AE9"/>
    <w:rsid w:val="00455AED"/>
    <w:rsid w:val="004638E5"/>
    <w:rsid w:val="0046658E"/>
    <w:rsid w:val="0048469F"/>
    <w:rsid w:val="004851A3"/>
    <w:rsid w:val="004B0EC2"/>
    <w:rsid w:val="004B5DDE"/>
    <w:rsid w:val="004C5624"/>
    <w:rsid w:val="004D19A4"/>
    <w:rsid w:val="004E0822"/>
    <w:rsid w:val="004E1FE5"/>
    <w:rsid w:val="004E74DA"/>
    <w:rsid w:val="004F05C9"/>
    <w:rsid w:val="0051609B"/>
    <w:rsid w:val="00516234"/>
    <w:rsid w:val="00520D4B"/>
    <w:rsid w:val="00522BE7"/>
    <w:rsid w:val="005239AA"/>
    <w:rsid w:val="00544311"/>
    <w:rsid w:val="00552D77"/>
    <w:rsid w:val="005649E4"/>
    <w:rsid w:val="00567EF7"/>
    <w:rsid w:val="0057355E"/>
    <w:rsid w:val="00573E1C"/>
    <w:rsid w:val="00574131"/>
    <w:rsid w:val="00583BD2"/>
    <w:rsid w:val="00587DE9"/>
    <w:rsid w:val="005A1560"/>
    <w:rsid w:val="005A1F28"/>
    <w:rsid w:val="005B1DE4"/>
    <w:rsid w:val="005C65EB"/>
    <w:rsid w:val="005F1B77"/>
    <w:rsid w:val="0060345A"/>
    <w:rsid w:val="00617162"/>
    <w:rsid w:val="00621019"/>
    <w:rsid w:val="006233E5"/>
    <w:rsid w:val="00626D87"/>
    <w:rsid w:val="00633663"/>
    <w:rsid w:val="006367BD"/>
    <w:rsid w:val="00647AE8"/>
    <w:rsid w:val="006535D7"/>
    <w:rsid w:val="00655180"/>
    <w:rsid w:val="006551F1"/>
    <w:rsid w:val="006669A6"/>
    <w:rsid w:val="006706BA"/>
    <w:rsid w:val="00670D42"/>
    <w:rsid w:val="006763BB"/>
    <w:rsid w:val="00691485"/>
    <w:rsid w:val="006919AE"/>
    <w:rsid w:val="006949B5"/>
    <w:rsid w:val="006A6760"/>
    <w:rsid w:val="006B5953"/>
    <w:rsid w:val="006B59FB"/>
    <w:rsid w:val="006C07A6"/>
    <w:rsid w:val="006C16E2"/>
    <w:rsid w:val="006C386A"/>
    <w:rsid w:val="006D1477"/>
    <w:rsid w:val="006F7211"/>
    <w:rsid w:val="007040D5"/>
    <w:rsid w:val="007202C2"/>
    <w:rsid w:val="007234A5"/>
    <w:rsid w:val="00730171"/>
    <w:rsid w:val="007325E5"/>
    <w:rsid w:val="00751433"/>
    <w:rsid w:val="00752A4A"/>
    <w:rsid w:val="007651D8"/>
    <w:rsid w:val="007763C1"/>
    <w:rsid w:val="0078183A"/>
    <w:rsid w:val="00781B1D"/>
    <w:rsid w:val="007A0594"/>
    <w:rsid w:val="007A4666"/>
    <w:rsid w:val="007A6880"/>
    <w:rsid w:val="007B4941"/>
    <w:rsid w:val="007D7847"/>
    <w:rsid w:val="007E61D0"/>
    <w:rsid w:val="007E7D07"/>
    <w:rsid w:val="0080573A"/>
    <w:rsid w:val="00812995"/>
    <w:rsid w:val="00822B14"/>
    <w:rsid w:val="00836F14"/>
    <w:rsid w:val="008467A8"/>
    <w:rsid w:val="008646FE"/>
    <w:rsid w:val="00873613"/>
    <w:rsid w:val="00885AC1"/>
    <w:rsid w:val="008A36C5"/>
    <w:rsid w:val="008A3D59"/>
    <w:rsid w:val="008A48BC"/>
    <w:rsid w:val="008B2F1B"/>
    <w:rsid w:val="008B3254"/>
    <w:rsid w:val="008C797C"/>
    <w:rsid w:val="008D3930"/>
    <w:rsid w:val="008E2247"/>
    <w:rsid w:val="00905EC5"/>
    <w:rsid w:val="0090753B"/>
    <w:rsid w:val="0091400E"/>
    <w:rsid w:val="00923441"/>
    <w:rsid w:val="009269EA"/>
    <w:rsid w:val="00941A8C"/>
    <w:rsid w:val="00946D92"/>
    <w:rsid w:val="009621F5"/>
    <w:rsid w:val="0096351E"/>
    <w:rsid w:val="00981C75"/>
    <w:rsid w:val="009871D5"/>
    <w:rsid w:val="00990198"/>
    <w:rsid w:val="009A3A25"/>
    <w:rsid w:val="009A76C6"/>
    <w:rsid w:val="009B6C35"/>
    <w:rsid w:val="009C5110"/>
    <w:rsid w:val="009C604B"/>
    <w:rsid w:val="009C630F"/>
    <w:rsid w:val="009E0F5D"/>
    <w:rsid w:val="009E1186"/>
    <w:rsid w:val="009E1AED"/>
    <w:rsid w:val="009E72AC"/>
    <w:rsid w:val="009E7877"/>
    <w:rsid w:val="009E7911"/>
    <w:rsid w:val="00A11FBD"/>
    <w:rsid w:val="00A14270"/>
    <w:rsid w:val="00A220E7"/>
    <w:rsid w:val="00A3286C"/>
    <w:rsid w:val="00A35768"/>
    <w:rsid w:val="00A44B1D"/>
    <w:rsid w:val="00A541CF"/>
    <w:rsid w:val="00A546BE"/>
    <w:rsid w:val="00A5497F"/>
    <w:rsid w:val="00A66E97"/>
    <w:rsid w:val="00A72336"/>
    <w:rsid w:val="00A9566D"/>
    <w:rsid w:val="00AA0868"/>
    <w:rsid w:val="00AA2B53"/>
    <w:rsid w:val="00AA4DEA"/>
    <w:rsid w:val="00AA4E22"/>
    <w:rsid w:val="00AB65F3"/>
    <w:rsid w:val="00AD34A1"/>
    <w:rsid w:val="00AD353B"/>
    <w:rsid w:val="00AE092C"/>
    <w:rsid w:val="00AE182C"/>
    <w:rsid w:val="00AE7366"/>
    <w:rsid w:val="00AF77DF"/>
    <w:rsid w:val="00B00560"/>
    <w:rsid w:val="00B13EAD"/>
    <w:rsid w:val="00B24B8A"/>
    <w:rsid w:val="00B2653A"/>
    <w:rsid w:val="00B34CE1"/>
    <w:rsid w:val="00B42776"/>
    <w:rsid w:val="00B55478"/>
    <w:rsid w:val="00B640E5"/>
    <w:rsid w:val="00B81714"/>
    <w:rsid w:val="00B93172"/>
    <w:rsid w:val="00B95AC9"/>
    <w:rsid w:val="00BA316C"/>
    <w:rsid w:val="00BA62C7"/>
    <w:rsid w:val="00BB0B20"/>
    <w:rsid w:val="00BB1C25"/>
    <w:rsid w:val="00BB7329"/>
    <w:rsid w:val="00BB7E35"/>
    <w:rsid w:val="00BC6281"/>
    <w:rsid w:val="00BD7714"/>
    <w:rsid w:val="00BE4D39"/>
    <w:rsid w:val="00BE7220"/>
    <w:rsid w:val="00BF6119"/>
    <w:rsid w:val="00C03348"/>
    <w:rsid w:val="00C0645A"/>
    <w:rsid w:val="00C12194"/>
    <w:rsid w:val="00C14147"/>
    <w:rsid w:val="00C160C2"/>
    <w:rsid w:val="00C87EBA"/>
    <w:rsid w:val="00C9279D"/>
    <w:rsid w:val="00C95110"/>
    <w:rsid w:val="00C958D1"/>
    <w:rsid w:val="00CA0311"/>
    <w:rsid w:val="00CA6898"/>
    <w:rsid w:val="00CA7613"/>
    <w:rsid w:val="00CB7FC7"/>
    <w:rsid w:val="00CE5E26"/>
    <w:rsid w:val="00CE68E6"/>
    <w:rsid w:val="00CE786E"/>
    <w:rsid w:val="00CF06EF"/>
    <w:rsid w:val="00D01A62"/>
    <w:rsid w:val="00D04984"/>
    <w:rsid w:val="00D05C54"/>
    <w:rsid w:val="00D22F43"/>
    <w:rsid w:val="00D5489D"/>
    <w:rsid w:val="00D62385"/>
    <w:rsid w:val="00D62BAA"/>
    <w:rsid w:val="00D758A2"/>
    <w:rsid w:val="00D77DF1"/>
    <w:rsid w:val="00D85278"/>
    <w:rsid w:val="00D86640"/>
    <w:rsid w:val="00D93045"/>
    <w:rsid w:val="00D93FBD"/>
    <w:rsid w:val="00D951AC"/>
    <w:rsid w:val="00DA733F"/>
    <w:rsid w:val="00DA7557"/>
    <w:rsid w:val="00DB4A76"/>
    <w:rsid w:val="00DC7565"/>
    <w:rsid w:val="00DD34E4"/>
    <w:rsid w:val="00DD65C6"/>
    <w:rsid w:val="00DE7D8E"/>
    <w:rsid w:val="00DF1FEB"/>
    <w:rsid w:val="00E03899"/>
    <w:rsid w:val="00E06947"/>
    <w:rsid w:val="00E15B7D"/>
    <w:rsid w:val="00E17746"/>
    <w:rsid w:val="00E321A5"/>
    <w:rsid w:val="00E50A4A"/>
    <w:rsid w:val="00E51B26"/>
    <w:rsid w:val="00E54AA3"/>
    <w:rsid w:val="00E55C62"/>
    <w:rsid w:val="00E614C7"/>
    <w:rsid w:val="00E765AB"/>
    <w:rsid w:val="00E82A05"/>
    <w:rsid w:val="00EA0066"/>
    <w:rsid w:val="00EA0E98"/>
    <w:rsid w:val="00EC11A1"/>
    <w:rsid w:val="00EC1505"/>
    <w:rsid w:val="00EC6A9D"/>
    <w:rsid w:val="00ED39A3"/>
    <w:rsid w:val="00ED4A1A"/>
    <w:rsid w:val="00ED70A1"/>
    <w:rsid w:val="00ED72ED"/>
    <w:rsid w:val="00F06F7F"/>
    <w:rsid w:val="00F07D1F"/>
    <w:rsid w:val="00F14068"/>
    <w:rsid w:val="00F272DE"/>
    <w:rsid w:val="00F4150D"/>
    <w:rsid w:val="00F44262"/>
    <w:rsid w:val="00F65AE5"/>
    <w:rsid w:val="00F71B47"/>
    <w:rsid w:val="00F80D2F"/>
    <w:rsid w:val="00F81055"/>
    <w:rsid w:val="00F81FEB"/>
    <w:rsid w:val="00F85B97"/>
    <w:rsid w:val="00F9065A"/>
    <w:rsid w:val="00F92D3B"/>
    <w:rsid w:val="00F930FA"/>
    <w:rsid w:val="00FA00C8"/>
    <w:rsid w:val="00FA279F"/>
    <w:rsid w:val="00FA42BF"/>
    <w:rsid w:val="00FC5644"/>
    <w:rsid w:val="00FC6A04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ат"/>
    <w:basedOn w:val="a"/>
    <w:link w:val="a4"/>
    <w:qFormat/>
    <w:rsid w:val="00A220E7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Реферат Знак"/>
    <w:basedOn w:val="a0"/>
    <w:link w:val="a3"/>
    <w:rsid w:val="00752A4A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752A4A"/>
  </w:style>
  <w:style w:type="paragraph" w:customStyle="1" w:styleId="Default">
    <w:name w:val="Default"/>
    <w:rsid w:val="00B00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0056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0056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A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3A25"/>
  </w:style>
  <w:style w:type="paragraph" w:styleId="a9">
    <w:name w:val="footer"/>
    <w:basedOn w:val="a"/>
    <w:link w:val="aa"/>
    <w:uiPriority w:val="99"/>
    <w:unhideWhenUsed/>
    <w:rsid w:val="009A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A25"/>
  </w:style>
  <w:style w:type="table" w:styleId="ab">
    <w:name w:val="Table Grid"/>
    <w:basedOn w:val="a1"/>
    <w:uiPriority w:val="59"/>
    <w:rsid w:val="008E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для диплома"/>
    <w:basedOn w:val="a"/>
    <w:link w:val="ad"/>
    <w:qFormat/>
    <w:rsid w:val="00047DBD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d">
    <w:name w:val="для диплома Знак"/>
    <w:link w:val="ac"/>
    <w:locked/>
    <w:rsid w:val="00047D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2AC8-221E-4370-9D7F-14E3E1BD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6</Pages>
  <Words>1313</Words>
  <Characters>8789</Characters>
  <Application>Microsoft Office Word</Application>
  <DocSecurity>0</DocSecurity>
  <Lines>462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Wishful</cp:lastModifiedBy>
  <cp:revision>107</cp:revision>
  <dcterms:created xsi:type="dcterms:W3CDTF">2014-08-11T17:12:00Z</dcterms:created>
  <dcterms:modified xsi:type="dcterms:W3CDTF">2014-10-11T14:09:00Z</dcterms:modified>
</cp:coreProperties>
</file>