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64" w:rsidRDefault="00B74464" w:rsidP="00B74464">
      <w:pPr>
        <w:keepNext/>
        <w:spacing w:after="0" w:line="36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Structural Breaks in Potential GDP of Four Major Economies: just impaired credit or the «New Normal»?</w:t>
      </w:r>
      <w:r w:rsidRPr="00632B75">
        <w:rPr>
          <w:rFonts w:ascii="Times New Roman" w:hAnsi="Times New Roman" w:cs="Times New Roman"/>
          <w:b/>
          <w:sz w:val="32"/>
          <w:szCs w:val="24"/>
          <w:vertAlign w:val="superscript"/>
          <w:lang w:val="en-US"/>
        </w:rPr>
        <w:footnoteReference w:id="1"/>
      </w:r>
      <w:r>
        <w:rPr>
          <w:rFonts w:ascii="Times New Roman" w:hAnsi="Times New Roman" w:cs="Times New Roman"/>
          <w:b/>
          <w:sz w:val="32"/>
          <w:szCs w:val="24"/>
          <w:lang w:val="en-US"/>
        </w:rPr>
        <w:br/>
        <w:t xml:space="preserve">A. </w:t>
      </w:r>
      <w:proofErr w:type="spellStart"/>
      <w:r>
        <w:rPr>
          <w:rFonts w:ascii="Times New Roman" w:hAnsi="Times New Roman" w:cs="Times New Roman"/>
          <w:b/>
          <w:sz w:val="32"/>
          <w:szCs w:val="24"/>
          <w:lang w:val="en-US"/>
        </w:rPr>
        <w:t>Apokin</w:t>
      </w:r>
      <w:proofErr w:type="spellEnd"/>
      <w:r>
        <w:rPr>
          <w:rFonts w:ascii="Times New Roman" w:hAnsi="Times New Roman" w:cs="Times New Roman"/>
          <w:b/>
          <w:sz w:val="32"/>
          <w:szCs w:val="24"/>
          <w:lang w:val="en-US"/>
        </w:rPr>
        <w:t xml:space="preserve">, I. </w:t>
      </w:r>
      <w:proofErr w:type="spellStart"/>
      <w:r>
        <w:rPr>
          <w:rFonts w:ascii="Times New Roman" w:hAnsi="Times New Roman" w:cs="Times New Roman"/>
          <w:b/>
          <w:sz w:val="32"/>
          <w:szCs w:val="24"/>
          <w:lang w:val="en-US"/>
        </w:rPr>
        <w:t>Ipatova</w:t>
      </w:r>
      <w:proofErr w:type="spellEnd"/>
    </w:p>
    <w:p w:rsidR="00B74464" w:rsidRDefault="00B74464" w:rsidP="00B74464">
      <w:pPr>
        <w:keepNext/>
        <w:spacing w:after="0" w:line="360" w:lineRule="auto"/>
        <w:jc w:val="center"/>
        <w:rPr>
          <w:rFonts w:ascii="Times New Roman" w:hAnsi="Times New Roman" w:cs="Times New Roman"/>
          <w:b/>
          <w:sz w:val="32"/>
          <w:szCs w:val="24"/>
          <w:lang w:val="en-US"/>
        </w:rPr>
      </w:pPr>
    </w:p>
    <w:p w:rsidR="00B74464" w:rsidRDefault="00B74464" w:rsidP="00B74464">
      <w:pPr>
        <w:keepNext/>
        <w:spacing w:after="0" w:line="360" w:lineRule="auto"/>
        <w:jc w:val="center"/>
        <w:rPr>
          <w:rFonts w:ascii="Times New Roman" w:hAnsi="Times New Roman" w:cs="Times New Roman"/>
          <w:sz w:val="24"/>
          <w:szCs w:val="24"/>
          <w:lang w:val="en-US"/>
        </w:rPr>
      </w:pPr>
      <w:r>
        <w:rPr>
          <w:rFonts w:ascii="Times New Roman" w:hAnsi="Times New Roman" w:cs="Times New Roman"/>
          <w:b/>
          <w:sz w:val="32"/>
          <w:szCs w:val="24"/>
          <w:lang w:val="en-US"/>
        </w:rPr>
        <w:t>Abstract</w:t>
      </w:r>
      <w:bookmarkStart w:id="0" w:name="_GoBack"/>
      <w:bookmarkEnd w:id="0"/>
    </w:p>
    <w:p w:rsidR="00B74464" w:rsidRDefault="00B74464" w:rsidP="00B74464">
      <w:pPr>
        <w:spacing w:after="0" w:line="360" w:lineRule="auto"/>
        <w:ind w:firstLine="709"/>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This paper investigates the factors </w:t>
      </w:r>
      <w:r w:rsidRPr="000B045B">
        <w:rPr>
          <w:rFonts w:ascii="Times New Roman" w:hAnsi="Times New Roman" w:cs="Times New Roman"/>
          <w:sz w:val="24"/>
          <w:szCs w:val="24"/>
          <w:lang w:val="en-US"/>
        </w:rPr>
        <w:t>behind the recent</w:t>
      </w:r>
      <w:r>
        <w:rPr>
          <w:rFonts w:ascii="Times New Roman" w:hAnsi="Times New Roman" w:cs="Times New Roman"/>
          <w:sz w:val="24"/>
          <w:szCs w:val="24"/>
          <w:lang w:val="en-US"/>
        </w:rPr>
        <w:t xml:space="preserve"> growth slowdown (so-</w:t>
      </w:r>
      <w:r w:rsidRPr="000B045B">
        <w:rPr>
          <w:rFonts w:ascii="Times New Roman" w:hAnsi="Times New Roman" w:cs="Times New Roman"/>
          <w:sz w:val="24"/>
          <w:szCs w:val="24"/>
          <w:lang w:val="en-US"/>
        </w:rPr>
        <w:t>called «the</w:t>
      </w:r>
      <w:r>
        <w:rPr>
          <w:rFonts w:ascii="Times New Roman" w:hAnsi="Times New Roman" w:cs="Times New Roman"/>
          <w:sz w:val="24"/>
          <w:szCs w:val="24"/>
          <w:shd w:val="clear" w:color="auto" w:fill="FFCC00"/>
          <w:lang w:val="en-US"/>
        </w:rPr>
        <w:t xml:space="preserve"> </w:t>
      </w:r>
      <w:r>
        <w:rPr>
          <w:rFonts w:ascii="Times New Roman" w:hAnsi="Times New Roman" w:cs="Times New Roman"/>
          <w:sz w:val="24"/>
          <w:szCs w:val="24"/>
          <w:lang w:val="en-US"/>
        </w:rPr>
        <w:t>Secular Stagnation</w:t>
      </w:r>
      <w:r w:rsidRPr="000B045B">
        <w:rPr>
          <w:rFonts w:ascii="Times New Roman" w:hAnsi="Times New Roman" w:cs="Times New Roman"/>
          <w:sz w:val="24"/>
          <w:szCs w:val="24"/>
          <w:lang w:val="en-US"/>
        </w:rPr>
        <w:t xml:space="preserve">») in the US, </w:t>
      </w:r>
      <w:r w:rsidRPr="000B045B">
        <w:rPr>
          <w:rFonts w:ascii="Times New Roman" w:hAnsi="Times New Roman" w:cs="Times New Roman"/>
          <w:bCs/>
          <w:sz w:val="24"/>
          <w:szCs w:val="24"/>
          <w:lang w:val="en-US"/>
        </w:rPr>
        <w:t>euro area</w:t>
      </w:r>
      <w:r w:rsidRPr="000B045B">
        <w:rPr>
          <w:rFonts w:ascii="Times New Roman" w:hAnsi="Times New Roman" w:cs="Times New Roman"/>
          <w:sz w:val="24"/>
          <w:szCs w:val="24"/>
          <w:lang w:val="en-US"/>
        </w:rPr>
        <w:t>, China</w:t>
      </w:r>
      <w:r>
        <w:rPr>
          <w:rFonts w:ascii="Times New Roman" w:hAnsi="Times New Roman" w:cs="Times New Roman"/>
          <w:sz w:val="24"/>
          <w:szCs w:val="24"/>
          <w:lang w:val="en-US"/>
        </w:rPr>
        <w:t xml:space="preserve">, and Japan using the metrics of potential output growth. Specifically, our results offer limited support for a supply slowdown hypothesis (Gordon, 2012), while not supporting an impaired credit transmission channel hypothesis (Reinhardt and </w:t>
      </w:r>
      <w:proofErr w:type="spellStart"/>
      <w:r>
        <w:rPr>
          <w:rFonts w:ascii="Times New Roman" w:hAnsi="Times New Roman" w:cs="Times New Roman"/>
          <w:sz w:val="24"/>
          <w:szCs w:val="24"/>
          <w:lang w:val="en-US"/>
        </w:rPr>
        <w:t>Rogoff</w:t>
      </w:r>
      <w:proofErr w:type="spellEnd"/>
      <w:r>
        <w:rPr>
          <w:rFonts w:ascii="Times New Roman" w:hAnsi="Times New Roman" w:cs="Times New Roman"/>
          <w:sz w:val="24"/>
          <w:szCs w:val="24"/>
          <w:lang w:val="en-US"/>
        </w:rPr>
        <w:t xml:space="preserve">, 2009a). We estimate potential output growth with a variety of multivariate </w:t>
      </w:r>
      <w:proofErr w:type="spellStart"/>
      <w:r>
        <w:rPr>
          <w:rFonts w:ascii="Times New Roman" w:hAnsi="Times New Roman" w:cs="Times New Roman"/>
          <w:sz w:val="24"/>
          <w:szCs w:val="24"/>
          <w:lang w:val="en-US"/>
        </w:rPr>
        <w:t>Kalman</w:t>
      </w:r>
      <w:proofErr w:type="spellEnd"/>
      <w:r>
        <w:rPr>
          <w:rFonts w:ascii="Times New Roman" w:hAnsi="Times New Roman" w:cs="Times New Roman"/>
          <w:sz w:val="24"/>
          <w:szCs w:val="24"/>
          <w:lang w:val="en-US"/>
        </w:rPr>
        <w:t xml:space="preserve"> filters accounting for inflation, unemployment, and private credit dynamics («finance-neutral» estimates) and subject our estimates to structural breaks tests. We detect structural breaks between</w:t>
      </w:r>
      <w:r w:rsidRPr="00CF34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2008 and </w:t>
      </w:r>
      <w:proofErr w:type="gramStart"/>
      <w:r>
        <w:rPr>
          <w:rFonts w:ascii="Times New Roman" w:hAnsi="Times New Roman" w:cs="Times New Roman"/>
          <w:sz w:val="24"/>
          <w:szCs w:val="24"/>
          <w:lang w:val="en-US"/>
        </w:rPr>
        <w:t>2010</w:t>
      </w:r>
      <w:r w:rsidRPr="00CF34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CF343C">
        <w:rPr>
          <w:rFonts w:ascii="Times New Roman" w:hAnsi="Times New Roman" w:cs="Times New Roman"/>
          <w:sz w:val="24"/>
          <w:szCs w:val="24"/>
          <w:lang w:val="en-US"/>
        </w:rPr>
        <w:t>for</w:t>
      </w:r>
      <w:proofErr w:type="gramEnd"/>
      <w:r>
        <w:rPr>
          <w:rFonts w:ascii="Times New Roman" w:hAnsi="Times New Roman" w:cs="Times New Roman"/>
          <w:bCs/>
          <w:sz w:val="24"/>
          <w:szCs w:val="24"/>
          <w:lang w:val="en-US"/>
        </w:rPr>
        <w:t xml:space="preserve"> all countries</w:t>
      </w:r>
      <w:r>
        <w:rPr>
          <w:rFonts w:ascii="Times New Roman" w:hAnsi="Times New Roman" w:cs="Times New Roman"/>
          <w:sz w:val="24"/>
          <w:szCs w:val="24"/>
          <w:lang w:val="en-US"/>
        </w:rPr>
        <w:t xml:space="preserve"> with </w:t>
      </w:r>
      <w:proofErr w:type="spellStart"/>
      <w:r>
        <w:rPr>
          <w:rFonts w:ascii="Times New Roman" w:hAnsi="Times New Roman" w:cs="Times New Roman"/>
          <w:sz w:val="24"/>
          <w:szCs w:val="24"/>
          <w:lang w:val="en-US"/>
        </w:rPr>
        <w:t>Bai-Perron</w:t>
      </w:r>
      <w:proofErr w:type="spellEnd"/>
      <w:r>
        <w:rPr>
          <w:rFonts w:ascii="Times New Roman" w:hAnsi="Times New Roman" w:cs="Times New Roman"/>
          <w:sz w:val="24"/>
          <w:szCs w:val="24"/>
          <w:lang w:val="en-US"/>
        </w:rPr>
        <w:t xml:space="preserve"> search procedure</w:t>
      </w:r>
      <w:r>
        <w:rPr>
          <w:rFonts w:ascii="Times New Roman" w:hAnsi="Times New Roman" w:cs="Times New Roman"/>
          <w:bCs/>
          <w:sz w:val="24"/>
          <w:szCs w:val="24"/>
          <w:lang w:val="en-US"/>
        </w:rPr>
        <w:t xml:space="preserve">, the result being </w:t>
      </w:r>
      <w:r>
        <w:rPr>
          <w:rFonts w:ascii="Times New Roman" w:hAnsi="Times New Roman" w:cs="Times New Roman"/>
          <w:sz w:val="24"/>
          <w:szCs w:val="24"/>
          <w:lang w:val="en-US"/>
        </w:rPr>
        <w:t xml:space="preserve">robust to the filter, specification and sample choices, with no significant difference between ordinary and «finance-neutral» estimates. We proceed with Chen-Liu test to detect negative level shift outliers in The Great Recession for euro area and Japan. Moreover, Chen and Liu test finds scarce evidence of temporary change outliers during The Great Recession if estimates account for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market indicators.</w:t>
      </w:r>
    </w:p>
    <w:p w:rsidR="00B74464" w:rsidRDefault="00B74464" w:rsidP="00B74464">
      <w:pPr>
        <w:spacing w:after="0" w:line="360" w:lineRule="auto"/>
        <w:ind w:firstLine="709"/>
        <w:jc w:val="both"/>
        <w:rPr>
          <w:rFonts w:ascii="Times New Roman" w:hAnsi="Times New Roman" w:cs="Times New Roman"/>
          <w:bCs/>
          <w:sz w:val="24"/>
          <w:szCs w:val="24"/>
          <w:lang w:val="en-US"/>
        </w:rPr>
      </w:pPr>
    </w:p>
    <w:p w:rsidR="00B74464" w:rsidRDefault="00B74464" w:rsidP="00B74464">
      <w:pPr>
        <w:spacing w:after="0" w:line="360" w:lineRule="auto"/>
        <w:jc w:val="both"/>
        <w:rPr>
          <w:rFonts w:ascii="Times New Roman" w:hAnsi="Times New Roman" w:cs="Calibri"/>
          <w:b/>
          <w:bCs/>
          <w:sz w:val="24"/>
          <w:szCs w:val="24"/>
          <w:lang w:val="en-US"/>
        </w:rPr>
      </w:pPr>
      <w:r>
        <w:rPr>
          <w:rFonts w:ascii="Times New Roman" w:hAnsi="Times New Roman"/>
          <w:b/>
          <w:bCs/>
          <w:sz w:val="24"/>
          <w:szCs w:val="24"/>
          <w:lang w:val="en-US"/>
        </w:rPr>
        <w:t>Keywords:</w:t>
      </w:r>
      <w:r>
        <w:rPr>
          <w:rFonts w:ascii="Times New Roman" w:hAnsi="Times New Roman"/>
          <w:bCs/>
          <w:sz w:val="24"/>
          <w:szCs w:val="24"/>
          <w:lang w:val="en-US"/>
        </w:rPr>
        <w:t xml:space="preserve"> New Normal, Secular Stagnation, Great Slump, potential GDP, </w:t>
      </w:r>
      <w:proofErr w:type="spellStart"/>
      <w:r>
        <w:rPr>
          <w:rFonts w:ascii="Times New Roman" w:hAnsi="Times New Roman"/>
          <w:bCs/>
          <w:sz w:val="24"/>
          <w:szCs w:val="24"/>
          <w:lang w:val="en-US"/>
        </w:rPr>
        <w:t>Kalman</w:t>
      </w:r>
      <w:proofErr w:type="spellEnd"/>
      <w:r>
        <w:rPr>
          <w:rFonts w:ascii="Times New Roman" w:hAnsi="Times New Roman"/>
          <w:bCs/>
          <w:sz w:val="24"/>
          <w:szCs w:val="24"/>
          <w:lang w:val="en-US"/>
        </w:rPr>
        <w:t xml:space="preserve"> filter, </w:t>
      </w:r>
      <w:proofErr w:type="spellStart"/>
      <w:r>
        <w:rPr>
          <w:rFonts w:ascii="Times New Roman" w:hAnsi="Times New Roman"/>
          <w:bCs/>
          <w:sz w:val="24"/>
          <w:szCs w:val="24"/>
          <w:lang w:val="en-US"/>
        </w:rPr>
        <w:t>Bai-Perron</w:t>
      </w:r>
      <w:proofErr w:type="spellEnd"/>
      <w:r>
        <w:rPr>
          <w:rFonts w:ascii="Times New Roman" w:hAnsi="Times New Roman"/>
          <w:bCs/>
          <w:sz w:val="24"/>
          <w:szCs w:val="24"/>
          <w:lang w:val="en-US"/>
        </w:rPr>
        <w:t xml:space="preserve"> test, Chen-Liu test</w:t>
      </w:r>
    </w:p>
    <w:p w:rsidR="00B74464" w:rsidRDefault="00B74464" w:rsidP="00B74464">
      <w:pPr>
        <w:spacing w:after="0" w:line="360" w:lineRule="auto"/>
        <w:jc w:val="both"/>
        <w:rPr>
          <w:rFonts w:ascii="Times New Roman" w:hAnsi="Times New Roman" w:cs="Times New Roman"/>
          <w:sz w:val="24"/>
          <w:szCs w:val="24"/>
          <w:lang w:val="en-US"/>
        </w:rPr>
      </w:pPr>
      <w:r>
        <w:rPr>
          <w:rFonts w:ascii="Times New Roman" w:hAnsi="Times New Roman"/>
          <w:b/>
          <w:bCs/>
          <w:sz w:val="24"/>
          <w:szCs w:val="24"/>
          <w:lang w:val="en-US"/>
        </w:rPr>
        <w:t>JEL classification:</w:t>
      </w:r>
      <w:r>
        <w:rPr>
          <w:rFonts w:ascii="Times New Roman" w:hAnsi="Times New Roman"/>
          <w:bCs/>
          <w:sz w:val="24"/>
          <w:szCs w:val="24"/>
          <w:lang w:val="en-US"/>
        </w:rPr>
        <w:t xml:space="preserve"> C53, E17, F44, O57.</w:t>
      </w:r>
    </w:p>
    <w:p w:rsidR="00067B1E" w:rsidRPr="00B74464" w:rsidRDefault="00067B1E">
      <w:pPr>
        <w:rPr>
          <w:lang w:val="en-US"/>
        </w:rPr>
      </w:pPr>
    </w:p>
    <w:sectPr w:rsidR="00067B1E" w:rsidRPr="00B744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74" w:rsidRDefault="00FE1874" w:rsidP="00B74464">
      <w:pPr>
        <w:spacing w:after="0" w:line="240" w:lineRule="auto"/>
      </w:pPr>
      <w:r>
        <w:separator/>
      </w:r>
    </w:p>
  </w:endnote>
  <w:endnote w:type="continuationSeparator" w:id="0">
    <w:p w:rsidR="00FE1874" w:rsidRDefault="00FE1874" w:rsidP="00B7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74" w:rsidRDefault="00FE1874" w:rsidP="00B74464">
      <w:pPr>
        <w:spacing w:after="0" w:line="240" w:lineRule="auto"/>
      </w:pPr>
      <w:r>
        <w:separator/>
      </w:r>
    </w:p>
  </w:footnote>
  <w:footnote w:type="continuationSeparator" w:id="0">
    <w:p w:rsidR="00FE1874" w:rsidRDefault="00FE1874" w:rsidP="00B74464">
      <w:pPr>
        <w:spacing w:after="0" w:line="240" w:lineRule="auto"/>
      </w:pPr>
      <w:r>
        <w:continuationSeparator/>
      </w:r>
    </w:p>
  </w:footnote>
  <w:footnote w:id="1">
    <w:p w:rsidR="00B74464" w:rsidRPr="00026222" w:rsidRDefault="00B74464" w:rsidP="00B74464">
      <w:pPr>
        <w:rPr>
          <w:rFonts w:ascii="Calibri" w:hAnsi="Calibri" w:cs="Calibri"/>
          <w:sz w:val="20"/>
          <w:szCs w:val="20"/>
          <w:lang w:val="en-US"/>
        </w:rPr>
      </w:pPr>
      <w:r>
        <w:rPr>
          <w:rStyle w:val="1"/>
          <w:rFonts w:ascii="Times New Roman" w:hAnsi="Times New Roman" w:cs="Times New Roman"/>
          <w:sz w:val="20"/>
          <w:szCs w:val="20"/>
        </w:rPr>
        <w:footnoteRef/>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Apokin</w:t>
      </w:r>
      <w:proofErr w:type="spellEnd"/>
      <w:r>
        <w:rPr>
          <w:rFonts w:ascii="Times New Roman" w:hAnsi="Times New Roman" w:cs="Times New Roman"/>
          <w:sz w:val="20"/>
          <w:szCs w:val="20"/>
          <w:lang w:val="en-US"/>
        </w:rPr>
        <w:t xml:space="preserve">: Head, Global Research Unit, CMASF (Moscow), Senior Research Fellow, NRU-HSE, (Moscow), AApokin@forecast.ru. </w:t>
      </w:r>
      <w:proofErr w:type="spellStart"/>
      <w:r>
        <w:rPr>
          <w:rFonts w:ascii="Times New Roman" w:hAnsi="Times New Roman" w:cs="Times New Roman"/>
          <w:sz w:val="20"/>
          <w:szCs w:val="20"/>
          <w:lang w:val="en-US"/>
        </w:rPr>
        <w:t>Ipatova</w:t>
      </w:r>
      <w:proofErr w:type="spellEnd"/>
      <w:r>
        <w:rPr>
          <w:rFonts w:ascii="Times New Roman" w:hAnsi="Times New Roman" w:cs="Times New Roman"/>
          <w:sz w:val="20"/>
          <w:szCs w:val="20"/>
          <w:lang w:val="en-US"/>
        </w:rPr>
        <w:t>:  Expert, CMASF (Moscow), NRU-HSE, (Moscow), IIpatova@forecast.ru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5D"/>
    <w:rsid w:val="00067B1E"/>
    <w:rsid w:val="00AB5C5D"/>
    <w:rsid w:val="00B74464"/>
    <w:rsid w:val="00FE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нак сноски1"/>
    <w:basedOn w:val="a0"/>
    <w:rsid w:val="00B744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нак сноски1"/>
    <w:basedOn w:val="a0"/>
    <w:rsid w:val="00B74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1235</Characters>
  <Application>Microsoft Office Word</Application>
  <DocSecurity>0</DocSecurity>
  <Lines>10</Lines>
  <Paragraphs>2</Paragraphs>
  <ScaleCrop>false</ScaleCrop>
  <Company>hse.perm.ru</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Shtennikova</dc:creator>
  <cp:keywords/>
  <dc:description/>
  <cp:lastModifiedBy>Anna Shtennikova</cp:lastModifiedBy>
  <cp:revision>2</cp:revision>
  <dcterms:created xsi:type="dcterms:W3CDTF">2015-09-17T09:30:00Z</dcterms:created>
  <dcterms:modified xsi:type="dcterms:W3CDTF">2015-09-17T09:31:00Z</dcterms:modified>
</cp:coreProperties>
</file>