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41"/>
          <w:szCs w:val="41"/>
          <w:lang w:val="en-US"/>
        </w:rPr>
      </w:pPr>
      <w:proofErr w:type="spellStart"/>
      <w:r w:rsidRPr="006256EF">
        <w:rPr>
          <w:rFonts w:ascii="URWPalladioL-Roma" w:hAnsi="URWPalladioL-Roma" w:cs="URWPalladioL-Roma"/>
          <w:sz w:val="41"/>
          <w:szCs w:val="41"/>
          <w:lang w:val="en-US"/>
        </w:rPr>
        <w:t>Intersectoral</w:t>
      </w:r>
      <w:proofErr w:type="spellEnd"/>
      <w:r w:rsidRPr="006256EF">
        <w:rPr>
          <w:rFonts w:ascii="URWPalladioL-Roma" w:hAnsi="URWPalladioL-Roma" w:cs="URWPalladioL-Roma"/>
          <w:sz w:val="41"/>
          <w:szCs w:val="41"/>
          <w:lang w:val="en-US"/>
        </w:rPr>
        <w:t xml:space="preserve"> markup divergence and welfare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41"/>
          <w:szCs w:val="41"/>
          <w:lang w:val="en-US"/>
        </w:rPr>
      </w:pPr>
    </w:p>
    <w:p w:rsid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9"/>
          <w:szCs w:val="29"/>
          <w:lang w:val="en-US"/>
        </w:rPr>
      </w:pPr>
      <w:proofErr w:type="spellStart"/>
      <w:r w:rsidRPr="006256EF">
        <w:rPr>
          <w:rFonts w:ascii="URWPalladioL-Roma" w:hAnsi="URWPalladioL-Roma" w:cs="URWPalladioL-Roma"/>
          <w:sz w:val="29"/>
          <w:szCs w:val="29"/>
          <w:lang w:val="en-US"/>
        </w:rPr>
        <w:t>Kristian</w:t>
      </w:r>
      <w:proofErr w:type="spellEnd"/>
      <w:r w:rsidRPr="006256EF">
        <w:rPr>
          <w:rFonts w:ascii="URWPalladioL-Roma" w:hAnsi="URWPalladioL-Roma" w:cs="URWPalladioL-Roma"/>
          <w:sz w:val="29"/>
          <w:szCs w:val="29"/>
          <w:lang w:val="en-US"/>
        </w:rPr>
        <w:t xml:space="preserve"> Behrens</w:t>
      </w:r>
      <w:r>
        <w:rPr>
          <w:rFonts w:ascii="URWPalladioL-Roma" w:hAnsi="URWPalladioL-Roma" w:cs="URWPalladioL-Roma"/>
          <w:sz w:val="29"/>
          <w:szCs w:val="29"/>
          <w:lang w:val="en-US"/>
        </w:rPr>
        <w:t>_</w:t>
      </w:r>
      <w:bookmarkStart w:id="0" w:name="_GoBack"/>
      <w:bookmarkEnd w:id="0"/>
    </w:p>
    <w:p w:rsid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US"/>
        </w:rPr>
      </w:pPr>
      <w:r w:rsidRPr="006256EF">
        <w:rPr>
          <w:rFonts w:ascii="CMSY10" w:hAnsi="CMSY10" w:cs="CMSY10"/>
          <w:sz w:val="21"/>
          <w:szCs w:val="21"/>
          <w:lang w:val="en-US"/>
        </w:rPr>
        <w:t xml:space="preserve"> </w:t>
      </w:r>
      <w:r w:rsidRPr="006256EF">
        <w:rPr>
          <w:rFonts w:ascii="URWPalladioL-Roma" w:hAnsi="URWPalladioL-Roma" w:cs="URWPalladioL-Roma"/>
          <w:sz w:val="29"/>
          <w:szCs w:val="29"/>
          <w:lang w:val="en-US"/>
        </w:rPr>
        <w:t>Sergey Kichko</w:t>
      </w:r>
      <w:r w:rsidRPr="006256EF">
        <w:rPr>
          <w:rFonts w:ascii="URWPalladioL-Roma" w:hAnsi="URWPalladioL-Roma" w:cs="URWPalladioL-Roma"/>
          <w:sz w:val="20"/>
          <w:szCs w:val="20"/>
          <w:lang w:val="en-US"/>
        </w:rPr>
        <w:t xml:space="preserve">† </w:t>
      </w:r>
    </w:p>
    <w:p w:rsid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US"/>
        </w:rPr>
      </w:pPr>
      <w:r w:rsidRPr="006256EF">
        <w:rPr>
          <w:rFonts w:ascii="URWPalladioL-Roma" w:hAnsi="URWPalladioL-Roma" w:cs="URWPalladioL-Roma"/>
          <w:sz w:val="29"/>
          <w:szCs w:val="29"/>
          <w:lang w:val="en-US"/>
        </w:rPr>
        <w:t xml:space="preserve">Philip </w:t>
      </w:r>
      <w:proofErr w:type="spellStart"/>
      <w:r w:rsidRPr="006256EF">
        <w:rPr>
          <w:rFonts w:ascii="URWPalladioL-Roma" w:hAnsi="URWPalladioL-Roma" w:cs="URWPalladioL-Roma"/>
          <w:sz w:val="29"/>
          <w:szCs w:val="29"/>
          <w:lang w:val="en-US"/>
        </w:rPr>
        <w:t>Ushchev</w:t>
      </w:r>
      <w:proofErr w:type="spellEnd"/>
      <w:r w:rsidRPr="006256EF">
        <w:rPr>
          <w:rFonts w:ascii="URWPalladioL-Roma" w:hAnsi="URWPalladioL-Roma" w:cs="URWPalladioL-Roma"/>
          <w:sz w:val="20"/>
          <w:szCs w:val="20"/>
          <w:lang w:val="en-US"/>
        </w:rPr>
        <w:t>‡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US"/>
        </w:rPr>
      </w:pPr>
    </w:p>
    <w:p w:rsid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TeXPalladioL-SC" w:hAnsi="TeXPalladioL-SC" w:cs="TeXPalladioL-SC"/>
          <w:sz w:val="29"/>
          <w:szCs w:val="29"/>
          <w:lang w:val="en-US"/>
        </w:rPr>
      </w:pPr>
      <w:r w:rsidRPr="006256EF">
        <w:rPr>
          <w:rFonts w:ascii="URWPalladioL-Roma" w:hAnsi="URWPalladioL-Roma" w:cs="URWPalladioL-Roma"/>
          <w:sz w:val="29"/>
          <w:szCs w:val="29"/>
          <w:lang w:val="en-US"/>
        </w:rPr>
        <w:t xml:space="preserve">August </w:t>
      </w:r>
      <w:r w:rsidRPr="006256EF">
        <w:rPr>
          <w:rFonts w:ascii="TeXPalladioL-SC" w:hAnsi="TeXPalladioL-SC" w:cs="TeXPalladioL-SC"/>
          <w:sz w:val="29"/>
          <w:szCs w:val="29"/>
          <w:lang w:val="en-US"/>
        </w:rPr>
        <w:t>18</w:t>
      </w:r>
      <w:r w:rsidRPr="006256EF">
        <w:rPr>
          <w:rFonts w:ascii="URWPalladioL-Roma" w:hAnsi="URWPalladioL-Roma" w:cs="URWPalladioL-Roma"/>
          <w:sz w:val="29"/>
          <w:szCs w:val="29"/>
          <w:lang w:val="en-US"/>
        </w:rPr>
        <w:t xml:space="preserve">, </w:t>
      </w:r>
      <w:r w:rsidRPr="006256EF">
        <w:rPr>
          <w:rFonts w:ascii="TeXPalladioL-SC" w:hAnsi="TeXPalladioL-SC" w:cs="TeXPalladioL-SC"/>
          <w:sz w:val="29"/>
          <w:szCs w:val="29"/>
          <w:lang w:val="en-US"/>
        </w:rPr>
        <w:t>2015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TeXPalladioL-SC" w:hAnsi="TeXPalladioL-SC" w:cs="TeXPalladioL-SC"/>
          <w:sz w:val="29"/>
          <w:szCs w:val="29"/>
          <w:lang w:val="en-US"/>
        </w:rPr>
      </w:pPr>
    </w:p>
    <w:p w:rsid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lang w:val="en-US"/>
        </w:rPr>
      </w:pPr>
      <w:r w:rsidRPr="006256EF">
        <w:rPr>
          <w:rFonts w:ascii="URWPalladioL-Bold" w:hAnsi="URWPalladioL-Bold" w:cs="URWPalladioL-Bold"/>
          <w:b/>
          <w:bCs/>
          <w:lang w:val="en-US"/>
        </w:rPr>
        <w:t>Abstract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lang w:val="en-US"/>
        </w:rPr>
      </w:pP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  <w:r w:rsidRPr="006256EF">
        <w:rPr>
          <w:rFonts w:ascii="URWPalladioL-Roma" w:hAnsi="URWPalladioL-Roma" w:cs="URWPalladioL-Roma"/>
          <w:lang w:val="en-US"/>
        </w:rPr>
        <w:t>We develop a general equilibrium model of monopolistic competition with a traded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  <w:proofErr w:type="gramStart"/>
      <w:r w:rsidRPr="006256EF">
        <w:rPr>
          <w:rFonts w:ascii="URWPalladioL-Roma" w:hAnsi="URWPalladioL-Roma" w:cs="URWPalladioL-Roma"/>
          <w:lang w:val="en-US"/>
        </w:rPr>
        <w:t>and</w:t>
      </w:r>
      <w:proofErr w:type="gramEnd"/>
      <w:r w:rsidRPr="006256EF">
        <w:rPr>
          <w:rFonts w:ascii="URWPalladioL-Roma" w:hAnsi="URWPalladioL-Roma" w:cs="URWPalladioL-Roma"/>
          <w:lang w:val="en-US"/>
        </w:rPr>
        <w:t xml:space="preserve"> a non-traded sector. Using preferences that generate variable markups and procompetitive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  <w:proofErr w:type="gramStart"/>
      <w:r w:rsidRPr="006256EF">
        <w:rPr>
          <w:rFonts w:ascii="URWPalladioL-Roma" w:hAnsi="URWPalladioL-Roma" w:cs="URWPalladioL-Roma"/>
          <w:lang w:val="en-US"/>
        </w:rPr>
        <w:t>effects</w:t>
      </w:r>
      <w:proofErr w:type="gramEnd"/>
      <w:r w:rsidRPr="006256EF">
        <w:rPr>
          <w:rFonts w:ascii="URWPalladioL-Roma" w:hAnsi="URWPalladioL-Roma" w:cs="URWPalladioL-Roma"/>
          <w:lang w:val="en-US"/>
        </w:rPr>
        <w:t>, we show how trade liberalization reduces markups in the traded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  <w:proofErr w:type="gramStart"/>
      <w:r w:rsidRPr="006256EF">
        <w:rPr>
          <w:rFonts w:ascii="URWPalladioL-Roma" w:hAnsi="URWPalladioL-Roma" w:cs="URWPalladioL-Roma"/>
          <w:lang w:val="en-US"/>
        </w:rPr>
        <w:t>sector</w:t>
      </w:r>
      <w:proofErr w:type="gramEnd"/>
      <w:r w:rsidRPr="006256EF">
        <w:rPr>
          <w:rFonts w:ascii="URWPalladioL-Roma" w:hAnsi="URWPalladioL-Roma" w:cs="URWPalladioL-Roma"/>
          <w:lang w:val="en-US"/>
        </w:rPr>
        <w:t xml:space="preserve"> and increases markups in the non-traded sector. Hence, while markups in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  <w:proofErr w:type="gramStart"/>
      <w:r w:rsidRPr="006256EF">
        <w:rPr>
          <w:rFonts w:ascii="URWPalladioL-Roma" w:hAnsi="URWPalladioL-Roma" w:cs="URWPalladioL-Roma"/>
          <w:lang w:val="en-US"/>
        </w:rPr>
        <w:t>the</w:t>
      </w:r>
      <w:proofErr w:type="gramEnd"/>
      <w:r w:rsidRPr="006256EF">
        <w:rPr>
          <w:rFonts w:ascii="URWPalladioL-Roma" w:hAnsi="URWPalladioL-Roma" w:cs="URWPalladioL-Roma"/>
          <w:lang w:val="en-US"/>
        </w:rPr>
        <w:t xml:space="preserve"> traded sector converge across countries due to trade liberalization, they diverge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  <w:proofErr w:type="gramStart"/>
      <w:r w:rsidRPr="006256EF">
        <w:rPr>
          <w:rFonts w:ascii="URWPalladioL-Roma" w:hAnsi="URWPalladioL-Roma" w:cs="URWPalladioL-Roma"/>
          <w:lang w:val="en-US"/>
        </w:rPr>
        <w:t>across</w:t>
      </w:r>
      <w:proofErr w:type="gramEnd"/>
      <w:r w:rsidRPr="006256EF">
        <w:rPr>
          <w:rFonts w:ascii="URWPalladioL-Roma" w:hAnsi="URWPalladioL-Roma" w:cs="URWPalladioL-Roma"/>
          <w:lang w:val="en-US"/>
        </w:rPr>
        <w:t xml:space="preserve"> sectors within countries. The welfare effects of trade liberalization are therefore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  <w:proofErr w:type="gramStart"/>
      <w:r w:rsidRPr="006256EF">
        <w:rPr>
          <w:rFonts w:ascii="URWPalladioL-Roma" w:hAnsi="URWPalladioL-Roma" w:cs="URWPalladioL-Roma"/>
          <w:lang w:val="en-US"/>
        </w:rPr>
        <w:t>ambiguous</w:t>
      </w:r>
      <w:proofErr w:type="gramEnd"/>
      <w:r w:rsidRPr="006256EF">
        <w:rPr>
          <w:rFonts w:ascii="URWPalladioL-Roma" w:hAnsi="URWPalladioL-Roma" w:cs="URWPalladioL-Roma"/>
          <w:lang w:val="en-US"/>
        </w:rPr>
        <w:t>: the direct positive effects in the traded sector may be dominated by the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  <w:proofErr w:type="gramStart"/>
      <w:r w:rsidRPr="006256EF">
        <w:rPr>
          <w:rFonts w:ascii="URWPalladioL-Roma" w:hAnsi="URWPalladioL-Roma" w:cs="URWPalladioL-Roma"/>
          <w:lang w:val="en-US"/>
        </w:rPr>
        <w:t>indirect</w:t>
      </w:r>
      <w:proofErr w:type="gramEnd"/>
      <w:r w:rsidRPr="006256EF">
        <w:rPr>
          <w:rFonts w:ascii="URWPalladioL-Roma" w:hAnsi="URWPalladioL-Roma" w:cs="URWPalladioL-Roma"/>
          <w:lang w:val="en-US"/>
        </w:rPr>
        <w:t xml:space="preserve"> negative effects in the non-traded sector, especially when trade costs are large</w:t>
      </w:r>
    </w:p>
    <w:p w:rsid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  <w:proofErr w:type="gramStart"/>
      <w:r w:rsidRPr="006256EF">
        <w:rPr>
          <w:rFonts w:ascii="URWPalladioL-Roma" w:hAnsi="URWPalladioL-Roma" w:cs="URWPalladioL-Roma"/>
          <w:lang w:val="en-US"/>
        </w:rPr>
        <w:t>and</w:t>
      </w:r>
      <w:proofErr w:type="gramEnd"/>
      <w:r w:rsidRPr="006256EF">
        <w:rPr>
          <w:rFonts w:ascii="URWPalladioL-Roma" w:hAnsi="URWPalladioL-Roma" w:cs="URWPalladioL-Roma"/>
          <w:lang w:val="en-US"/>
        </w:rPr>
        <w:t xml:space="preserve"> the non-traded sector is small.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  <w:r w:rsidRPr="006256EF">
        <w:rPr>
          <w:rFonts w:ascii="URWPalladioL-Bold" w:hAnsi="URWPalladioL-Bold" w:cs="URWPalladioL-Bold"/>
          <w:b/>
          <w:bCs/>
          <w:lang w:val="en-US"/>
        </w:rPr>
        <w:t xml:space="preserve">Keywords: </w:t>
      </w:r>
      <w:r w:rsidRPr="006256EF">
        <w:rPr>
          <w:rFonts w:ascii="URWPalladioL-Roma" w:hAnsi="URWPalladioL-Roma" w:cs="URWPalladioL-Roma"/>
          <w:lang w:val="en-US"/>
        </w:rPr>
        <w:t>monopolistic competition; implicitly additive preferences; variable</w:t>
      </w:r>
    </w:p>
    <w:p w:rsid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  <w:proofErr w:type="gramStart"/>
      <w:r w:rsidRPr="006256EF">
        <w:rPr>
          <w:rFonts w:ascii="URWPalladioL-Roma" w:hAnsi="URWPalladioL-Roma" w:cs="URWPalladioL-Roma"/>
          <w:lang w:val="en-US"/>
        </w:rPr>
        <w:t>markups</w:t>
      </w:r>
      <w:proofErr w:type="gramEnd"/>
      <w:r w:rsidRPr="006256EF">
        <w:rPr>
          <w:rFonts w:ascii="URWPalladioL-Roma" w:hAnsi="URWPalladioL-Roma" w:cs="URWPalladioL-Roma"/>
          <w:lang w:val="en-US"/>
        </w:rPr>
        <w:t>; trade liberalization; non-traded goods.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lang w:val="en-US"/>
        </w:rPr>
      </w:pPr>
    </w:p>
    <w:p w:rsidR="004B0051" w:rsidRDefault="006256EF" w:rsidP="006256EF">
      <w:pPr>
        <w:rPr>
          <w:rFonts w:ascii="URWPalladioL-Roma" w:hAnsi="URWPalladioL-Roma" w:cs="URWPalladioL-Roma"/>
          <w:lang w:val="en-US"/>
        </w:rPr>
      </w:pPr>
      <w:r>
        <w:rPr>
          <w:rFonts w:ascii="URWPalladioL-Bold" w:hAnsi="URWPalladioL-Bold" w:cs="URWPalladioL-Bold"/>
          <w:b/>
          <w:bCs/>
        </w:rPr>
        <w:t xml:space="preserve">JEL </w:t>
      </w:r>
      <w:proofErr w:type="spellStart"/>
      <w:r>
        <w:rPr>
          <w:rFonts w:ascii="URWPalladioL-Bold" w:hAnsi="URWPalladioL-Bold" w:cs="URWPalladioL-Bold"/>
          <w:b/>
          <w:bCs/>
        </w:rPr>
        <w:t>Classification</w:t>
      </w:r>
      <w:proofErr w:type="spellEnd"/>
      <w:r>
        <w:rPr>
          <w:rFonts w:ascii="URWPalladioL-Bold" w:hAnsi="URWPalladioL-Bold" w:cs="URWPalladioL-Bold"/>
          <w:b/>
          <w:bCs/>
        </w:rPr>
        <w:t xml:space="preserve">: </w:t>
      </w:r>
      <w:r>
        <w:rPr>
          <w:rFonts w:ascii="URWPalladioL-Roma" w:hAnsi="URWPalladioL-Roma" w:cs="URWPalladioL-Roma"/>
        </w:rPr>
        <w:t>F</w:t>
      </w:r>
      <w:r>
        <w:rPr>
          <w:rFonts w:ascii="TeXPalladioL-SC" w:hAnsi="TeXPalladioL-SC" w:cs="TeXPalladioL-SC"/>
        </w:rPr>
        <w:t>12</w:t>
      </w:r>
      <w:r>
        <w:rPr>
          <w:rFonts w:ascii="URWPalladioL-Roma" w:hAnsi="URWPalladioL-Roma" w:cs="URWPalladioL-Roma"/>
        </w:rPr>
        <w:t>, F</w:t>
      </w:r>
      <w:r>
        <w:rPr>
          <w:rFonts w:ascii="TeXPalladioL-SC" w:hAnsi="TeXPalladioL-SC" w:cs="TeXPalladioL-SC"/>
        </w:rPr>
        <w:t>15</w:t>
      </w:r>
      <w:r>
        <w:rPr>
          <w:rFonts w:ascii="URWPalladioL-Roma" w:hAnsi="URWPalladioL-Roma" w:cs="URWPalladioL-Roma"/>
        </w:rPr>
        <w:t>.</w:t>
      </w:r>
    </w:p>
    <w:p w:rsidR="006256EF" w:rsidRDefault="006256EF" w:rsidP="006256EF">
      <w:pPr>
        <w:rPr>
          <w:rFonts w:ascii="URWPalladioL-Roma" w:hAnsi="URWPalladioL-Roma" w:cs="URWPalladioL-Roma"/>
          <w:lang w:val="en-US"/>
        </w:rPr>
      </w:pP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US"/>
        </w:rPr>
      </w:pPr>
      <w:r w:rsidRPr="006256EF">
        <w:rPr>
          <w:rFonts w:ascii="CMSY10" w:hAnsi="CMSY10" w:cs="CMSY10"/>
          <w:sz w:val="16"/>
          <w:szCs w:val="16"/>
          <w:lang w:val="en-US"/>
        </w:rPr>
        <w:t>_</w:t>
      </w:r>
      <w:r w:rsidRPr="006256EF">
        <w:rPr>
          <w:rFonts w:ascii="URWPalladioL-Roma" w:hAnsi="URWPalladioL-Roma" w:cs="URWPalladioL-Roma"/>
          <w:sz w:val="20"/>
          <w:szCs w:val="20"/>
          <w:lang w:val="en-US"/>
        </w:rPr>
        <w:t xml:space="preserve">Department of Economics, </w:t>
      </w:r>
      <w:proofErr w:type="spellStart"/>
      <w:r w:rsidRPr="006256EF">
        <w:rPr>
          <w:rFonts w:ascii="URWPalladioL-Roma" w:hAnsi="URWPalladioL-Roma" w:cs="URWPalladioL-Roma"/>
          <w:sz w:val="20"/>
          <w:szCs w:val="20"/>
          <w:lang w:val="en-US"/>
        </w:rPr>
        <w:t>Université</w:t>
      </w:r>
      <w:proofErr w:type="spellEnd"/>
      <w:r w:rsidRPr="006256EF">
        <w:rPr>
          <w:rFonts w:ascii="URWPalladioL-Roma" w:hAnsi="URWPalladioL-Roma" w:cs="URWPalladioL-Roma"/>
          <w:sz w:val="20"/>
          <w:szCs w:val="20"/>
          <w:lang w:val="en-US"/>
        </w:rPr>
        <w:t xml:space="preserve"> du Québec à Montréal (</w:t>
      </w:r>
      <w:proofErr w:type="spellStart"/>
      <w:r w:rsidRPr="006256EF">
        <w:rPr>
          <w:rFonts w:ascii="TeXPalladioL-SC" w:hAnsi="TeXPalladioL-SC" w:cs="TeXPalladioL-SC"/>
          <w:sz w:val="20"/>
          <w:szCs w:val="20"/>
          <w:lang w:val="en-US"/>
        </w:rPr>
        <w:t>esg</w:t>
      </w:r>
      <w:r w:rsidRPr="006256EF">
        <w:rPr>
          <w:rFonts w:ascii="URWPalladioL-Roma" w:hAnsi="URWPalladioL-Roma" w:cs="URWPalladioL-Roma"/>
          <w:sz w:val="20"/>
          <w:szCs w:val="20"/>
          <w:lang w:val="en-US"/>
        </w:rPr>
        <w:t>-</w:t>
      </w:r>
      <w:r w:rsidRPr="006256EF">
        <w:rPr>
          <w:rFonts w:ascii="TeXPalladioL-SC" w:hAnsi="TeXPalladioL-SC" w:cs="TeXPalladioL-SC"/>
          <w:sz w:val="20"/>
          <w:szCs w:val="20"/>
          <w:lang w:val="en-US"/>
        </w:rPr>
        <w:t>uqam</w:t>
      </w:r>
      <w:proofErr w:type="spellEnd"/>
      <w:r w:rsidRPr="006256EF">
        <w:rPr>
          <w:rFonts w:ascii="URWPalladioL-Roma" w:hAnsi="URWPalladioL-Roma" w:cs="URWPalladioL-Roma"/>
          <w:sz w:val="20"/>
          <w:szCs w:val="20"/>
          <w:lang w:val="en-US"/>
        </w:rPr>
        <w:t>), Canada; National Research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US"/>
        </w:rPr>
      </w:pPr>
      <w:proofErr w:type="gramStart"/>
      <w:r w:rsidRPr="006256EF">
        <w:rPr>
          <w:rFonts w:ascii="URWPalladioL-Roma" w:hAnsi="URWPalladioL-Roma" w:cs="URWPalladioL-Roma"/>
          <w:sz w:val="20"/>
          <w:szCs w:val="20"/>
          <w:lang w:val="en-US"/>
        </w:rPr>
        <w:t xml:space="preserve">University, Higher School of Economics, Russia; and </w:t>
      </w:r>
      <w:proofErr w:type="spellStart"/>
      <w:r w:rsidRPr="006256EF">
        <w:rPr>
          <w:rFonts w:ascii="TeXPalladioL-SC" w:hAnsi="TeXPalladioL-SC" w:cs="TeXPalladioL-SC"/>
          <w:sz w:val="20"/>
          <w:szCs w:val="20"/>
          <w:lang w:val="en-US"/>
        </w:rPr>
        <w:t>cepr</w:t>
      </w:r>
      <w:proofErr w:type="spellEnd"/>
      <w:r w:rsidRPr="006256EF">
        <w:rPr>
          <w:rFonts w:ascii="URWPalladioL-Roma" w:hAnsi="URWPalladioL-Roma" w:cs="URWPalladioL-Roma"/>
          <w:sz w:val="20"/>
          <w:szCs w:val="20"/>
          <w:lang w:val="en-US"/>
        </w:rPr>
        <w:t>, UK.</w:t>
      </w:r>
      <w:proofErr w:type="gramEnd"/>
      <w:r w:rsidRPr="006256EF">
        <w:rPr>
          <w:rFonts w:ascii="URWPalladioL-Roma" w:hAnsi="URWPalladioL-Roma" w:cs="URWPalladioL-Roma"/>
          <w:sz w:val="20"/>
          <w:szCs w:val="20"/>
          <w:lang w:val="en-US"/>
        </w:rPr>
        <w:t xml:space="preserve"> E-mail: </w:t>
      </w:r>
      <w:r w:rsidRPr="006256EF">
        <w:rPr>
          <w:rFonts w:ascii="CMTT10" w:hAnsi="CMTT10" w:cs="CMTT10"/>
          <w:sz w:val="20"/>
          <w:szCs w:val="20"/>
          <w:lang w:val="en-US"/>
        </w:rPr>
        <w:t>behrens.kristian@uqam.ca</w:t>
      </w:r>
      <w:r w:rsidRPr="006256EF">
        <w:rPr>
          <w:rFonts w:ascii="URWPalladioL-Roma" w:hAnsi="URWPalladioL-Roma" w:cs="URWPalladioL-Roma"/>
          <w:sz w:val="20"/>
          <w:szCs w:val="20"/>
          <w:lang w:val="en-US"/>
        </w:rPr>
        <w:t>.</w:t>
      </w:r>
    </w:p>
    <w:p w:rsidR="006256EF" w:rsidRP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  <w:lang w:val="en-US"/>
        </w:rPr>
      </w:pPr>
      <w:proofErr w:type="gramStart"/>
      <w:r w:rsidRPr="006256EF">
        <w:rPr>
          <w:rFonts w:ascii="URWPalladioL-Roma" w:hAnsi="URWPalladioL-Roma" w:cs="URWPalladioL-Roma"/>
          <w:sz w:val="15"/>
          <w:szCs w:val="15"/>
          <w:lang w:val="en-US"/>
        </w:rPr>
        <w:t>†</w:t>
      </w:r>
      <w:r w:rsidRPr="006256EF">
        <w:rPr>
          <w:rFonts w:ascii="URWPalladioL-Roma" w:hAnsi="URWPalladioL-Roma" w:cs="URWPalladioL-Roma"/>
          <w:sz w:val="20"/>
          <w:szCs w:val="20"/>
          <w:lang w:val="en-US"/>
        </w:rPr>
        <w:t>National Research University, Higher School of Economics, Russia.</w:t>
      </w:r>
      <w:proofErr w:type="gramEnd"/>
      <w:r w:rsidRPr="006256EF">
        <w:rPr>
          <w:rFonts w:ascii="URWPalladioL-Roma" w:hAnsi="URWPalladioL-Roma" w:cs="URWPalladioL-Roma"/>
          <w:sz w:val="20"/>
          <w:szCs w:val="20"/>
          <w:lang w:val="en-US"/>
        </w:rPr>
        <w:t xml:space="preserve"> E-mail: </w:t>
      </w:r>
      <w:r w:rsidRPr="006256EF">
        <w:rPr>
          <w:rFonts w:ascii="CMTT10" w:hAnsi="CMTT10" w:cs="CMTT10"/>
          <w:sz w:val="20"/>
          <w:szCs w:val="20"/>
          <w:lang w:val="en-US"/>
        </w:rPr>
        <w:t>sergey.kichko@gmail.com</w:t>
      </w:r>
    </w:p>
    <w:p w:rsidR="006256EF" w:rsidRDefault="006256EF" w:rsidP="006256EF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proofErr w:type="gramStart"/>
      <w:r w:rsidRPr="006256EF">
        <w:rPr>
          <w:rFonts w:ascii="URWPalladioL-Roma" w:hAnsi="URWPalladioL-Roma" w:cs="URWPalladioL-Roma"/>
          <w:sz w:val="15"/>
          <w:szCs w:val="15"/>
          <w:lang w:val="en-US"/>
        </w:rPr>
        <w:t>‡</w:t>
      </w:r>
      <w:r w:rsidRPr="006256EF">
        <w:rPr>
          <w:rFonts w:ascii="URWPalladioL-Roma" w:hAnsi="URWPalladioL-Roma" w:cs="URWPalladioL-Roma"/>
          <w:sz w:val="20"/>
          <w:szCs w:val="20"/>
          <w:lang w:val="en-US"/>
        </w:rPr>
        <w:t>National Research University, Higher School of Economics, Russia.</w:t>
      </w:r>
      <w:proofErr w:type="gramEnd"/>
      <w:r w:rsidRPr="006256EF">
        <w:rPr>
          <w:rFonts w:ascii="URWPalladioL-Roma" w:hAnsi="URWPalladioL-Roma" w:cs="URWPalladioL-Roma"/>
          <w:sz w:val="20"/>
          <w:szCs w:val="20"/>
          <w:lang w:val="en-US"/>
        </w:rPr>
        <w:t xml:space="preserve"> </w:t>
      </w:r>
      <w:r>
        <w:rPr>
          <w:rFonts w:ascii="URWPalladioL-Roma" w:hAnsi="URWPalladioL-Roma" w:cs="URWPalladioL-Roma"/>
          <w:sz w:val="20"/>
          <w:szCs w:val="20"/>
        </w:rPr>
        <w:t>E-</w:t>
      </w:r>
      <w:proofErr w:type="spellStart"/>
      <w:r>
        <w:rPr>
          <w:rFonts w:ascii="URWPalladioL-Roma" w:hAnsi="URWPalladioL-Roma" w:cs="URWPalladioL-Roma"/>
          <w:sz w:val="20"/>
          <w:szCs w:val="20"/>
        </w:rPr>
        <w:t>mail</w:t>
      </w:r>
      <w:proofErr w:type="spellEnd"/>
      <w:r>
        <w:rPr>
          <w:rFonts w:ascii="URWPalladioL-Roma" w:hAnsi="URWPalladioL-Roma" w:cs="URWPalladioL-Roma"/>
          <w:sz w:val="20"/>
          <w:szCs w:val="20"/>
        </w:rPr>
        <w:t xml:space="preserve">: </w:t>
      </w:r>
      <w:r>
        <w:rPr>
          <w:rFonts w:ascii="CMTT10" w:hAnsi="CMTT10" w:cs="CMTT10"/>
          <w:sz w:val="20"/>
          <w:szCs w:val="20"/>
        </w:rPr>
        <w:t>ph.ushchev@gmail.com</w:t>
      </w:r>
    </w:p>
    <w:p w:rsidR="006256EF" w:rsidRPr="006256EF" w:rsidRDefault="006256EF" w:rsidP="006256EF">
      <w:pPr>
        <w:rPr>
          <w:lang w:val="en-US"/>
        </w:rPr>
      </w:pPr>
      <w:r>
        <w:rPr>
          <w:rFonts w:ascii="TeXPalladioL-SC" w:hAnsi="TeXPalladioL-SC" w:cs="TeXPalladioL-SC"/>
          <w:sz w:val="24"/>
          <w:szCs w:val="24"/>
        </w:rPr>
        <w:t>1</w:t>
      </w:r>
    </w:p>
    <w:sectPr w:rsidR="006256EF" w:rsidRPr="0062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PalladioL-S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54"/>
    <w:rsid w:val="004B0051"/>
    <w:rsid w:val="006256EF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hse.perm.ru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Shtennikova</dc:creator>
  <cp:keywords/>
  <dc:description/>
  <cp:lastModifiedBy>Anna Shtennikova</cp:lastModifiedBy>
  <cp:revision>2</cp:revision>
  <dcterms:created xsi:type="dcterms:W3CDTF">2015-09-17T09:33:00Z</dcterms:created>
  <dcterms:modified xsi:type="dcterms:W3CDTF">2015-09-17T09:33:00Z</dcterms:modified>
</cp:coreProperties>
</file>